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60"/>
        </w:rPr>
        <w:t>HOLMANS TEST MINE</w:t>
      </w:r>
    </w:p>
    <w:p>
      <w:pPr>
        <w:jc w:val="center"/>
      </w:pPr>
      <w:r>
        <w:rPr>
          <w:b/>
          <w:color w:val="374151"/>
          <w:sz w:val="32"/>
        </w:rPr>
        <w:t>MASTER ENVIRONMENTAL, HYDROGEOLOGICAL, EXPLOSIVES &amp; PUBLIC-SAFETY REVIEW</w:t>
      </w:r>
    </w:p>
    <w:p>
      <w:pPr>
        <w:jc w:val="center"/>
      </w:pPr>
      <w:r>
        <w:rPr>
          <w:b/>
          <w:sz w:val="26"/>
        </w:rPr>
        <w:t>Troon / Camborne, Cornwall</w:t>
      </w:r>
    </w:p>
    <w:tbl>
      <w:tblPr>
        <w:tblStyle w:val="TableGrid"/>
        <w:tblW w:type="auto" w:w="0"/>
        <w:jc w:val="center"/>
        <w:tblLook w:firstColumn="1" w:firstRow="1" w:lastColumn="0" w:lastRow="0" w:noHBand="0" w:noVBand="1" w:val="04A0"/>
      </w:tblPr>
      <w:tblGrid>
        <w:gridCol w:w="10166"/>
      </w:tblGrid>
      <w:tr>
        <w:tc>
          <w:tcPr>
            <w:tcW w:type="dxa" w:w="10166"/>
            <w:shd w:fill="EDF4EA"/>
          </w:tcPr>
          <w:p>
            <w:r/>
            <w:r>
              <w:rPr>
                <w:b/>
                <w:color w:val="1F4E79"/>
                <w:sz w:val="18"/>
              </w:rPr>
              <w:t>PURPOSE</w:t>
              <w:br/>
            </w:r>
            <w:r>
              <w:rPr>
                <w:sz w:val="17"/>
              </w:rPr>
              <w:t>A forensic, source-pathway-receptor assessment of repeated energetic/explosive testing in a fractured historic mine complex that is also used for recreational Airsoft, with particular focus on cumulative water, air, mine-chemistry, ground-stability, ecological and public-access questions.</w:t>
            </w:r>
          </w:p>
        </w:tc>
      </w:tr>
    </w:tbl>
    <w:p>
      <w:pPr>
        <w:pStyle w:val="Small"/>
      </w:pPr>
    </w:p>
    <w:p>
      <w:pPr>
        <w:jc w:val="center"/>
      </w:pPr>
      <w:r>
        <w:drawing>
          <wp:inline xmlns:a="http://schemas.openxmlformats.org/drawingml/2006/main" xmlns:pic="http://schemas.openxmlformats.org/drawingml/2006/picture">
            <wp:extent cx="2971800" cy="6438201"/>
            <wp:docPr id="1" name="Picture 1"/>
            <wp:cNvGraphicFramePr>
              <a:graphicFrameLocks noChangeAspect="1"/>
            </wp:cNvGraphicFramePr>
            <a:graphic>
              <a:graphicData uri="http://schemas.openxmlformats.org/drawingml/2006/picture">
                <pic:pic>
                  <pic:nvPicPr>
                    <pic:cNvPr id="0" name="5740.jpg"/>
                    <pic:cNvPicPr/>
                  </pic:nvPicPr>
                  <pic:blipFill>
                    <a:blip r:embed="rId11"/>
                    <a:stretch>
                      <a:fillRect/>
                    </a:stretch>
                  </pic:blipFill>
                  <pic:spPr>
                    <a:xfrm>
                      <a:off x="0" y="0"/>
                      <a:ext cx="2971800" cy="6438201"/>
                    </a:xfrm>
                    <a:prstGeom prst="rect"/>
                  </pic:spPr>
                </pic:pic>
              </a:graphicData>
            </a:graphic>
          </wp:inline>
        </w:drawing>
      </w:r>
    </w:p>
    <w:p>
      <w:pPr>
        <w:pStyle w:val="Caption"/>
        <w:jc w:val="center"/>
      </w:pPr>
      <w:r>
        <w:t>Figure 1. User-supplied Google video-search screenshot, captured 27 August 2026 at 08:36. Visible results include “Underground Airsoft – 2 Miles Of Tunnels At…” (21 July 2023), “INSANE Airsoft Game In LIVE Test MINE Facility!…” (30 January 2023), and additional Holmans/Troon mine Airsoft results.</w:t>
      </w:r>
    </w:p>
    <w:p>
      <w:pPr>
        <w:jc w:val="center"/>
      </w:pPr>
      <w:r>
        <w:rPr>
          <w:b/>
        </w:rPr>
        <w:t>Prepared: 27 August 2026</w:t>
      </w:r>
    </w:p>
    <w:p>
      <w:pPr>
        <w:jc w:val="center"/>
      </w:pPr>
      <w:r>
        <w:t>Status: Evidence-led working report for regulatory / expert referral. Assertions are graded by evidence status; hypotheses are not presented as proven causation.</w:t>
      </w:r>
    </w:p>
    <w:p>
      <w:r>
        <w:br w:type="page"/>
      </w:r>
    </w:p>
    <w:p>
      <w:pPr>
        <w:pStyle w:val="Heading1"/>
      </w:pPr>
      <w:r>
        <w:t>Executive Summary</w:t>
      </w:r>
    </w:p>
    <w:p>
      <w:pPr/>
      <w:r>
        <w:t>This report examines a distinctive risk setting: Holmans Test Mine is publicly described by its current operator as an underground explosive-testing facility with fully confined test chambers, forced-air ventilation and HSE-licensed storage [S1]. The same named site is also publicly advertised by Blackout Airsoft Cornwall for recreational Airsoft; its current rules require helmets and torches in the mine and permit under-16s when accompanied by an adult [S2]. A 2023 permission-visit account states that the site was “very much active”, that its tunnels were used for testing, and that the author attended on an Airsoft weekend [S3].</w:t>
      </w:r>
    </w:p>
    <w:p>
      <w:pPr/>
      <w:r>
        <w:t>A 2018 trade-press interview with the operator’s managing director is especially significant. It describes explosive work in the mine, a chamber down a dead-end tunnel, the need to improve ventilation, and states that in the chamber’s then-current condition testing could occur but personnel could not return for 24 hours because of smoke created by the explosion [S4]. This is not evidence that the same restriction remains today; it is evidence that post-blast atmosphere, clearance time and ventilation were real operational issues at this particular mine.</w:t>
      </w:r>
    </w:p>
    <w:p>
      <w:pPr/>
      <w:r>
        <w:t>The central concern is therefore not an allegation that Airsoft players were present during live firing. The relevant question is whether repeated energetic testing and subsequent recreational occupation of connected underground workings have been separated and controlled by an evidence-based system that addresses residual gases, settled and resuspended dust, energetic residues, ventilation exhausts, mine water, flooded headings, geological mineralisation, misfires/low-order events, and the physical condition of the workings.</w:t>
      </w:r>
    </w:p>
    <w:p>
      <w:pPr/>
      <w:r>
        <w:t>For cumulative modelling, the frequency supplied for this investigation is one to two test days per week over a ten-year working window. That equates to approximately 520–1,040 test days. Because one test day can contain multiple firings, a sensitivity envelope of 1–5 energetic events per test day yields approximately 520–5,200 individual events. These numbers are not asserted as the actual firing record; they are scenario calculations that define the scale of records and environmental loading that must be tested against operator logs.</w:t>
      </w:r>
    </w:p>
    <w:p>
      <w:pPr/>
      <w:r>
        <w:t>The water question is particularly important in Cornwall. Government sources document widespread metal pollution from abandoned metal mines in West Cornwall, including cadmium, copper, zinc, nickel, lead and arsenic in affected catchments [S12], and the Wheal Jane case demonstrates how mine water can mobilise large quantities of metals including arsenic, cadmium, copper, iron, lead, manganese, mercury and zinc [S11]. This background does not prove a test-site contribution. It does mean that repeated disturbance inside mineralised, fractured mine workings must be investigated against a naturally and historically vulnerable geochemical setting rather than treated as an inert underground chamber.</w:t>
      </w:r>
    </w:p>
    <w:p>
      <w:pPr/>
      <w:r>
        <w:t>Energetic compounds create a second, chemically distinct pathway. EPA technical material documents that RDX can be released through firing, detonation, ordnance disposal and demilitarisation; it can migrate through the unsaturated zone and reach groundwater where site conditions permit, with abundant rainfall identified as one factor that can favour migration [S8]. Military-range studies identify RDX, HMX and TNT residues, with low-order detonations and incomplete events capable of producing disproportionately high local residues [S9]. These compounds must not be assumed to have been used at Holmans; the correct analytical suite must be derived from the actual historic test inventory.</w:t>
      </w:r>
    </w:p>
    <w:tbl>
      <w:tblPr>
        <w:tblStyle w:val="TableGrid"/>
        <w:tblW w:type="auto" w:w="0"/>
        <w:jc w:val="center"/>
        <w:tblLook w:firstColumn="1" w:firstRow="1" w:lastColumn="0" w:lastRow="0" w:noHBand="0" w:noVBand="1" w:val="04A0"/>
      </w:tblPr>
      <w:tblGrid>
        <w:gridCol w:w="10166"/>
      </w:tblGrid>
      <w:tr>
        <w:tc>
          <w:tcPr>
            <w:tcW w:type="dxa" w:w="10166"/>
            <w:shd w:fill="FFF2CC"/>
          </w:tcPr>
          <w:p>
            <w:r/>
            <w:r>
              <w:rPr>
                <w:b/>
                <w:color w:val="1F4E79"/>
                <w:sz w:val="18"/>
              </w:rPr>
              <w:t>OVERALL FINDING</w:t>
              <w:br/>
            </w:r>
            <w:r>
              <w:rPr>
                <w:sz w:val="17"/>
              </w:rPr>
              <w:t>The available public evidence is sufficient to justify a coordinated regulatory and independent expert investigation of the interface between explosive testing, underground public access, mine-water chemistry, ventilation, and the surrounding hydrogeological/ecological system. It is not yet sufficient to attribute sulphur, tree damage, sinkholes, illness, or water changes to explosive testing as a matter of proven causation.</w:t>
            </w:r>
          </w:p>
        </w:tc>
      </w:tr>
    </w:tbl>
    <w:p>
      <w:pPr>
        <w:pStyle w:val="Small"/>
      </w:pPr>
    </w:p>
    <w:p>
      <w:pPr>
        <w:pStyle w:val="Heading1"/>
      </w:pPr>
      <w:r>
        <w:t>1. Evidence Architecture: What Is Fact, What Is Corroborated, What Must Be Tested</w:t>
      </w:r>
    </w:p>
    <w:tbl>
      <w:tblPr>
        <w:tblStyle w:val="TableGrid"/>
        <w:tblW w:type="auto" w:w="0"/>
        <w:jc w:val="center"/>
        <w:tblLook w:firstColumn="1" w:firstRow="1" w:lastColumn="0" w:lastRow="0" w:noHBand="0" w:noVBand="1" w:val="04A0"/>
      </w:tblPr>
      <w:tblGrid>
        <w:gridCol w:w="3389"/>
        <w:gridCol w:w="3389"/>
        <w:gridCol w:w="3389"/>
      </w:tblGrid>
      <w:tr>
        <w:tc>
          <w:tcPr>
            <w:tcW w:type="dxa" w:w="3389"/>
            <w:vAlign w:val="center"/>
            <w:shd w:fill="D9EAF7"/>
          </w:tcPr>
          <w:p>
            <w:r/>
            <w:r>
              <w:rPr>
                <w:rFonts w:ascii="Aptos" w:hAnsi="Aptos"/>
                <w:b/>
                <w:sz w:val="16"/>
              </w:rPr>
              <w:t>Evidence class</w:t>
            </w:r>
          </w:p>
        </w:tc>
        <w:tc>
          <w:tcPr>
            <w:tcW w:type="dxa" w:w="3389"/>
            <w:vAlign w:val="center"/>
            <w:shd w:fill="D9EAF7"/>
          </w:tcPr>
          <w:p>
            <w:r/>
            <w:r>
              <w:rPr>
                <w:rFonts w:ascii="Aptos" w:hAnsi="Aptos"/>
                <w:b/>
                <w:sz w:val="16"/>
              </w:rPr>
              <w:t>Meaning</w:t>
            </w:r>
          </w:p>
        </w:tc>
        <w:tc>
          <w:tcPr>
            <w:tcW w:type="dxa" w:w="3389"/>
            <w:vAlign w:val="center"/>
            <w:shd w:fill="D9EAF7"/>
          </w:tcPr>
          <w:p>
            <w:r/>
            <w:r>
              <w:rPr>
                <w:rFonts w:ascii="Aptos" w:hAnsi="Aptos"/>
                <w:b/>
                <w:sz w:val="16"/>
              </w:rPr>
              <w:t>Examples in this report</w:t>
            </w:r>
          </w:p>
        </w:tc>
      </w:tr>
      <w:tr>
        <w:tc>
          <w:tcPr>
            <w:tcW w:type="dxa" w:w="3389"/>
            <w:vAlign w:val="center"/>
          </w:tcPr>
          <w:p>
            <w:r/>
            <w:r>
              <w:rPr>
                <w:rFonts w:ascii="Aptos" w:hAnsi="Aptos"/>
                <w:b w:val="0"/>
                <w:sz w:val="16"/>
              </w:rPr>
              <w:t>A — Operator / regulator primary</w:t>
            </w:r>
          </w:p>
        </w:tc>
        <w:tc>
          <w:tcPr>
            <w:tcW w:type="dxa" w:w="3389"/>
            <w:vAlign w:val="center"/>
          </w:tcPr>
          <w:p>
            <w:r/>
            <w:r>
              <w:rPr>
                <w:rFonts w:ascii="Aptos" w:hAnsi="Aptos"/>
                <w:b w:val="0"/>
                <w:sz w:val="16"/>
              </w:rPr>
              <w:t>Published by operator or official authority</w:t>
            </w:r>
          </w:p>
        </w:tc>
        <w:tc>
          <w:tcPr>
            <w:tcW w:type="dxa" w:w="3389"/>
            <w:vAlign w:val="center"/>
          </w:tcPr>
          <w:p>
            <w:r/>
            <w:r>
              <w:rPr>
                <w:rFonts w:ascii="Aptos" w:hAnsi="Aptos"/>
                <w:b w:val="0"/>
                <w:sz w:val="16"/>
              </w:rPr>
              <w:t>Holmans facility description; HSE licence terms; EA groundwater guidance.</w:t>
            </w:r>
          </w:p>
        </w:tc>
      </w:tr>
      <w:tr>
        <w:tc>
          <w:tcPr>
            <w:tcW w:type="dxa" w:w="3389"/>
            <w:vAlign w:val="center"/>
          </w:tcPr>
          <w:p>
            <w:r/>
            <w:r>
              <w:rPr>
                <w:rFonts w:ascii="Aptos" w:hAnsi="Aptos"/>
                <w:b w:val="0"/>
                <w:sz w:val="16"/>
              </w:rPr>
              <w:t>B — Independent contemporaneous</w:t>
            </w:r>
          </w:p>
        </w:tc>
        <w:tc>
          <w:tcPr>
            <w:tcW w:type="dxa" w:w="3389"/>
            <w:vAlign w:val="center"/>
          </w:tcPr>
          <w:p>
            <w:r/>
            <w:r>
              <w:rPr>
                <w:rFonts w:ascii="Aptos" w:hAnsi="Aptos"/>
                <w:b w:val="0"/>
                <w:sz w:val="16"/>
              </w:rPr>
              <w:t>Third-party material independently documenting the site</w:t>
            </w:r>
          </w:p>
        </w:tc>
        <w:tc>
          <w:tcPr>
            <w:tcW w:type="dxa" w:w="3389"/>
            <w:vAlign w:val="center"/>
          </w:tcPr>
          <w:p>
            <w:r/>
            <w:r>
              <w:rPr>
                <w:rFonts w:ascii="Aptos" w:hAnsi="Aptos"/>
                <w:b w:val="0"/>
                <w:sz w:val="16"/>
              </w:rPr>
              <w:t>2018 operator interview in trade press; 2023 permission visit; public Airsoft material.</w:t>
            </w:r>
          </w:p>
        </w:tc>
      </w:tr>
      <w:tr>
        <w:tc>
          <w:tcPr>
            <w:tcW w:type="dxa" w:w="3389"/>
            <w:vAlign w:val="center"/>
          </w:tcPr>
          <w:p>
            <w:r/>
            <w:r>
              <w:rPr>
                <w:rFonts w:ascii="Aptos" w:hAnsi="Aptos"/>
                <w:b w:val="0"/>
                <w:sz w:val="16"/>
              </w:rPr>
              <w:t>C — User-supplied evidence</w:t>
            </w:r>
          </w:p>
        </w:tc>
        <w:tc>
          <w:tcPr>
            <w:tcW w:type="dxa" w:w="3389"/>
            <w:vAlign w:val="center"/>
          </w:tcPr>
          <w:p>
            <w:r/>
            <w:r>
              <w:rPr>
                <w:rFonts w:ascii="Aptos" w:hAnsi="Aptos"/>
                <w:b w:val="0"/>
                <w:sz w:val="16"/>
              </w:rPr>
              <w:t>Photographs, observations, coordinates, test results, logs supplied in the Land Protection project</w:t>
            </w:r>
          </w:p>
        </w:tc>
        <w:tc>
          <w:tcPr>
            <w:tcW w:type="dxa" w:w="3389"/>
            <w:vAlign w:val="center"/>
          </w:tcPr>
          <w:p>
            <w:r/>
            <w:r>
              <w:rPr>
                <w:rFonts w:ascii="Aptos" w:hAnsi="Aptos"/>
                <w:b w:val="0"/>
                <w:sz w:val="16"/>
              </w:rPr>
              <w:t>Stream/tree images; sulphur/metallic observations; tree-fall/sink coordinates; reported frequency.</w:t>
            </w:r>
          </w:p>
        </w:tc>
      </w:tr>
      <w:tr>
        <w:tc>
          <w:tcPr>
            <w:tcW w:type="dxa" w:w="3389"/>
            <w:vAlign w:val="center"/>
          </w:tcPr>
          <w:p>
            <w:r/>
            <w:r>
              <w:rPr>
                <w:rFonts w:ascii="Aptos" w:hAnsi="Aptos"/>
                <w:b w:val="0"/>
                <w:sz w:val="16"/>
              </w:rPr>
              <w:t>D — Scenario / hypothesis</w:t>
            </w:r>
          </w:p>
        </w:tc>
        <w:tc>
          <w:tcPr>
            <w:tcW w:type="dxa" w:w="3389"/>
            <w:vAlign w:val="center"/>
          </w:tcPr>
          <w:p>
            <w:r/>
            <w:r>
              <w:rPr>
                <w:rFonts w:ascii="Aptos" w:hAnsi="Aptos"/>
                <w:b w:val="0"/>
                <w:sz w:val="16"/>
              </w:rPr>
              <w:t>A calculation or causal mechanism requiring verification</w:t>
            </w:r>
          </w:p>
        </w:tc>
        <w:tc>
          <w:tcPr>
            <w:tcW w:type="dxa" w:w="3389"/>
            <w:vAlign w:val="center"/>
          </w:tcPr>
          <w:p>
            <w:r/>
            <w:r>
              <w:rPr>
                <w:rFonts w:ascii="Aptos" w:hAnsi="Aptos"/>
                <w:b w:val="0"/>
                <w:sz w:val="16"/>
              </w:rPr>
              <w:t>520–1,040 test-day model; residue-loading scenarios; blast–fracture–water pathway hypothesis.</w:t>
            </w:r>
          </w:p>
        </w:tc>
      </w:tr>
    </w:tbl>
    <w:p>
      <w:pPr>
        <w:pStyle w:val="Small"/>
      </w:pPr>
    </w:p>
    <w:p>
      <w:pPr/>
      <w:r>
        <w:t>This separation is essential. A strong environmental case does not become stronger by converting a hypothesis into a fact. It becomes stronger by designing tests capable of falsifying or confirming the hypothesis.</w:t>
      </w:r>
    </w:p>
    <w:p>
      <w:pPr>
        <w:pStyle w:val="Heading1"/>
      </w:pPr>
      <w:r>
        <w:t>2. Site Use: Explosive Testing and Recreational Underground Occupation</w:t>
      </w:r>
    </w:p>
    <w:p>
      <w:pPr>
        <w:pStyle w:val="Heading2"/>
      </w:pPr>
      <w:r>
        <w:t>2.1 Current operator description</w:t>
      </w:r>
    </w:p>
    <w:p>
      <w:pPr/>
      <w:r>
        <w:t>Event Horizon’s current facilities page states that it assumed stewardship of Holmans Test Mine in 2017 and describes the site as a “unique underground testing facility” with more than one mile of flat underground tunnels, fully confined test chambers, forced-air ventilation and HSE-licensed storage. The same page says the company’s three South-West sites support complex explosive testing, munition disposal and explosive storage [S1].</w:t>
      </w:r>
    </w:p>
    <w:p>
      <w:pPr/>
      <w:r>
        <w:t>The operator’s main website describes Event Horizon as specialising in explosive materials, with licensed explosive testing/factory sites, explosive ordnance capability, aerospace/defence work and an underground test facility [S5].</w:t>
      </w:r>
    </w:p>
    <w:p>
      <w:pPr>
        <w:pStyle w:val="Heading2"/>
      </w:pPr>
      <w:r>
        <w:t>2.2 Recreational Airsoft at the same named mine</w:t>
      </w:r>
    </w:p>
    <w:p>
      <w:pPr/>
      <w:r>
        <w:t>Blackout Airsoft Cornwall’s site rules identify the location as Holmans Test Mine, Troon, Camborne, TR14 9JP. The rules state that under-16s must be accompanied by an adult, under-18s need full-face protection, helmets and torches must be used in the mine, and pyrotechnics/smokes are restricted to adults [S2].</w:t>
      </w:r>
    </w:p>
    <w:p>
      <w:pPr/>
      <w:r>
        <w:t>The user-supplied screenshot reproduced in Figure 1 captures multiple publicly indexed videos connecting Airsoft with Holmans / Troon mine. The supplied video link is preserved below as part of the evidence schedule.</w:t>
      </w:r>
    </w:p>
    <w:p>
      <w:pPr/>
      <w:r>
        <w:rPr>
          <w:b/>
        </w:rPr>
        <w:t xml:space="preserve">Video V1 — </w:t>
      </w:r>
      <w:hyperlink r:id="rId12">
        <w:r>
          <w:rPr>
            <w:color w:val="0563C1"/>
            <w:u w:val="single"/>
          </w:rPr>
          <w:t>Underground Airsoft – 2 Miles Of Tunnels At Holmans Test Mine</w:t>
        </w:r>
      </w:hyperlink>
    </w:p>
    <w:p>
      <w:pPr/>
      <w:r>
        <w:t>The screenshot also displays a separate result titled “INSANE Airsoft Game In LIVE Test MINE Facility!…” by Names Nicco dated 30 January 2023. The wording “LIVE Test MINE Facility” is a video title, not an independent technical finding; the underlying video should be preserved and reviewed frame-by-frame for statements about testing, restricted areas, ventilation, blast doors, water and access control.</w:t>
      </w:r>
    </w:p>
    <w:p>
      <w:pPr>
        <w:pStyle w:val="Heading2"/>
      </w:pPr>
      <w:r>
        <w:t>2.3 Independent 2023 permission-visit account</w:t>
      </w:r>
    </w:p>
    <w:p>
      <w:pPr/>
      <w:r>
        <w:t>A 27 November 2023 account on 28DaysLater states that the site was “very much active”, in the hands of a pyrotechnics company using the tunnels for testing, and that the writer visited on an Airsoft weekend. The account says the author knew parts of the tunnel from the previous day’s gameplay, describes blast doors and test headings, identifies an off-limits third tunnel, and reports quarry/Airsoft use above the mine [S3]. This is independent corroboration of overlapping site use in the same period, but it is not proof of firing while the public were underground.</w:t>
      </w:r>
    </w:p>
    <w:p>
      <w:pPr>
        <w:pStyle w:val="Heading2"/>
      </w:pPr>
      <w:r>
        <w:t>2.4 2018 operator interview: post-blast smoke and ventilation</w:t>
      </w:r>
    </w:p>
    <w:p>
      <w:pPr/>
      <w:r>
        <w:t>A July 2018 trade-press article quotes the managing director while describing mine development for ventilation. It states that a large chamber had been identified for major testing but was then down a dead-end tunnel, and that in its then-present state testing could occur but personnel could not return for 24 hours because of smoke generated by the explosion. The article also discusses continuing blasting to connect shafts and improve ventilation [S4].</w:t>
      </w:r>
    </w:p>
    <w:tbl>
      <w:tblPr>
        <w:tblStyle w:val="TableGrid"/>
        <w:tblW w:type="auto" w:w="0"/>
        <w:jc w:val="center"/>
        <w:tblLook w:firstColumn="1" w:firstRow="1" w:lastColumn="0" w:lastRow="0" w:noHBand="0" w:noVBand="1" w:val="04A0"/>
      </w:tblPr>
      <w:tblGrid>
        <w:gridCol w:w="10166"/>
      </w:tblGrid>
      <w:tr>
        <w:tc>
          <w:tcPr>
            <w:tcW w:type="dxa" w:w="10166"/>
            <w:shd w:fill="FCE4D6"/>
          </w:tcPr>
          <w:p>
            <w:r/>
            <w:r>
              <w:rPr>
                <w:b/>
                <w:color w:val="1F4E79"/>
                <w:sz w:val="18"/>
              </w:rPr>
              <w:t>WHY THIS MATTERS</w:t>
              <w:br/>
            </w:r>
            <w:r>
              <w:rPr>
                <w:sz w:val="17"/>
              </w:rPr>
              <w:t>The 24-hour statement is historical, not a current clearance rule. But it proves that post-blast atmospheric persistence and ventilation design were operationally material at Holmans. Any later decision to permit public recreational access after testing should therefore be supported by measurable clearance criteria, ventilation performance and access-control records rather than assumption alone.</w:t>
            </w:r>
          </w:p>
        </w:tc>
      </w:tr>
    </w:tbl>
    <w:p>
      <w:pPr>
        <w:pStyle w:val="Small"/>
      </w:pPr>
    </w:p>
    <w:p>
      <w:pPr>
        <w:pStyle w:val="Heading1"/>
      </w:pPr>
      <w:r>
        <w:t>3. Defence / Aerospace Context: What Can Be Established Publicly</w:t>
      </w:r>
    </w:p>
    <w:p>
      <w:pPr/>
      <w:r>
        <w:t>The operator’s own website presents its work as spanning aerospace, explosive ordnance disposal, demolition/salvage, special effects and military customers [S5]. A 2021 public-procurement record reproduced by a tender-data service identifies the Ministry of Defence as contracting authority and Event Horizon Pyrotechnics Limited as supplier for research and development into defence requirements. The notice says the work built on previous UK MOD contracts and existing findings dating from 2016 [S6].</w:t>
      </w:r>
    </w:p>
    <w:p>
      <w:pPr/>
      <w:r>
        <w:t>A separate 2018 trade-press interview reports MOD munitions-disposal work and destructive jet-engine testing at Holmans [S4]. This is credible corroboration but should still be verified against primary contracts, task orders and site-specific test records before attributing any particular energetic composition, munition or customer activity to a given date at Holmans.</w:t>
      </w:r>
    </w:p>
    <w:p>
      <w:pPr/>
      <w:r>
        <w:t>The term “military-grade” should therefore be used only where the specific material, munition or contract supports it. The environmental investigation does not need that label to be serious: repeated use of any energetic material in a confined fractured mine can generate air, residue, water and waste-management questions. Where RDX/HMX/TNT or other military energetic constituents are confirmed by records, the analytical programme should expand accordingly.</w:t>
      </w:r>
    </w:p>
    <w:p>
      <w:pPr>
        <w:pStyle w:val="Heading1"/>
      </w:pPr>
      <w:r>
        <w:t>4. Ten-Year Cumulative Exposure Reconstruction</w:t>
      </w:r>
    </w:p>
    <w:p>
      <w:pPr>
        <w:pStyle w:val="Heading2"/>
      </w:pPr>
      <w:r>
        <w:t>4.1 Test-day frequency scenarios</w:t>
      </w:r>
    </w:p>
    <w:tbl>
      <w:tblPr>
        <w:tblStyle w:val="TableGrid"/>
        <w:tblW w:type="auto" w:w="0"/>
        <w:jc w:val="center"/>
        <w:tblLook w:firstColumn="1" w:firstRow="1" w:lastColumn="0" w:lastRow="0" w:noHBand="0" w:noVBand="1" w:val="04A0"/>
      </w:tblPr>
      <w:tblGrid>
        <w:gridCol w:w="2541"/>
        <w:gridCol w:w="2541"/>
        <w:gridCol w:w="2541"/>
        <w:gridCol w:w="2541"/>
      </w:tblGrid>
      <w:tr>
        <w:tc>
          <w:tcPr>
            <w:tcW w:type="dxa" w:w="2541"/>
            <w:vAlign w:val="center"/>
            <w:shd w:fill="D9EAF7"/>
          </w:tcPr>
          <w:p>
            <w:r/>
            <w:r>
              <w:rPr>
                <w:rFonts w:ascii="Aptos" w:hAnsi="Aptos"/>
                <w:b/>
                <w:sz w:val="16"/>
              </w:rPr>
              <w:t>Scenario</w:t>
            </w:r>
          </w:p>
        </w:tc>
        <w:tc>
          <w:tcPr>
            <w:tcW w:type="dxa" w:w="2541"/>
            <w:vAlign w:val="center"/>
            <w:shd w:fill="D9EAF7"/>
          </w:tcPr>
          <w:p>
            <w:r/>
            <w:r>
              <w:rPr>
                <w:rFonts w:ascii="Aptos" w:hAnsi="Aptos"/>
                <w:b/>
                <w:sz w:val="16"/>
              </w:rPr>
              <w:t>Frequency supplied</w:t>
            </w:r>
          </w:p>
        </w:tc>
        <w:tc>
          <w:tcPr>
            <w:tcW w:type="dxa" w:w="2541"/>
            <w:vAlign w:val="center"/>
            <w:shd w:fill="D9EAF7"/>
          </w:tcPr>
          <w:p>
            <w:r/>
            <w:r>
              <w:rPr>
                <w:rFonts w:ascii="Aptos" w:hAnsi="Aptos"/>
                <w:b/>
                <w:sz w:val="16"/>
              </w:rPr>
              <w:t>Approx. test days / 10 years</w:t>
            </w:r>
          </w:p>
        </w:tc>
        <w:tc>
          <w:tcPr>
            <w:tcW w:type="dxa" w:w="2541"/>
            <w:vAlign w:val="center"/>
            <w:shd w:fill="D9EAF7"/>
          </w:tcPr>
          <w:p>
            <w:r/>
            <w:r>
              <w:rPr>
                <w:rFonts w:ascii="Aptos" w:hAnsi="Aptos"/>
                <w:b/>
                <w:sz w:val="16"/>
              </w:rPr>
              <w:t>Status</w:t>
            </w:r>
          </w:p>
        </w:tc>
      </w:tr>
      <w:tr>
        <w:tc>
          <w:tcPr>
            <w:tcW w:type="dxa" w:w="2541"/>
            <w:vAlign w:val="center"/>
          </w:tcPr>
          <w:p>
            <w:r/>
            <w:r>
              <w:rPr>
                <w:rFonts w:ascii="Aptos" w:hAnsi="Aptos"/>
                <w:b w:val="0"/>
                <w:sz w:val="16"/>
              </w:rPr>
              <w:t>Low</w:t>
            </w:r>
          </w:p>
        </w:tc>
        <w:tc>
          <w:tcPr>
            <w:tcW w:type="dxa" w:w="2541"/>
            <w:vAlign w:val="center"/>
          </w:tcPr>
          <w:p>
            <w:r/>
            <w:r>
              <w:rPr>
                <w:rFonts w:ascii="Aptos" w:hAnsi="Aptos"/>
                <w:b w:val="0"/>
                <w:sz w:val="16"/>
              </w:rPr>
              <w:t>1 per week</w:t>
            </w:r>
          </w:p>
        </w:tc>
        <w:tc>
          <w:tcPr>
            <w:tcW w:type="dxa" w:w="2541"/>
            <w:vAlign w:val="center"/>
          </w:tcPr>
          <w:p>
            <w:r/>
            <w:r>
              <w:rPr>
                <w:rFonts w:ascii="Aptos" w:hAnsi="Aptos"/>
                <w:b w:val="0"/>
                <w:sz w:val="16"/>
              </w:rPr>
              <w:t>~520</w:t>
            </w:r>
          </w:p>
        </w:tc>
        <w:tc>
          <w:tcPr>
            <w:tcW w:type="dxa" w:w="2541"/>
            <w:vAlign w:val="center"/>
          </w:tcPr>
          <w:p>
            <w:r/>
            <w:r>
              <w:rPr>
                <w:rFonts w:ascii="Aptos" w:hAnsi="Aptos"/>
                <w:b w:val="0"/>
                <w:sz w:val="16"/>
              </w:rPr>
              <w:t>Working scenario</w:t>
            </w:r>
          </w:p>
        </w:tc>
      </w:tr>
      <w:tr>
        <w:tc>
          <w:tcPr>
            <w:tcW w:type="dxa" w:w="2541"/>
            <w:vAlign w:val="center"/>
          </w:tcPr>
          <w:p>
            <w:r/>
            <w:r>
              <w:rPr>
                <w:rFonts w:ascii="Aptos" w:hAnsi="Aptos"/>
                <w:b w:val="0"/>
                <w:sz w:val="16"/>
              </w:rPr>
              <w:t>Central</w:t>
            </w:r>
          </w:p>
        </w:tc>
        <w:tc>
          <w:tcPr>
            <w:tcW w:type="dxa" w:w="2541"/>
            <w:vAlign w:val="center"/>
          </w:tcPr>
          <w:p>
            <w:r/>
            <w:r>
              <w:rPr>
                <w:rFonts w:ascii="Aptos" w:hAnsi="Aptos"/>
                <w:b w:val="0"/>
                <w:sz w:val="16"/>
              </w:rPr>
              <w:t>1.5 per week</w:t>
            </w:r>
          </w:p>
        </w:tc>
        <w:tc>
          <w:tcPr>
            <w:tcW w:type="dxa" w:w="2541"/>
            <w:vAlign w:val="center"/>
          </w:tcPr>
          <w:p>
            <w:r/>
            <w:r>
              <w:rPr>
                <w:rFonts w:ascii="Aptos" w:hAnsi="Aptos"/>
                <w:b w:val="0"/>
                <w:sz w:val="16"/>
              </w:rPr>
              <w:t>~780</w:t>
            </w:r>
          </w:p>
        </w:tc>
        <w:tc>
          <w:tcPr>
            <w:tcW w:type="dxa" w:w="2541"/>
            <w:vAlign w:val="center"/>
          </w:tcPr>
          <w:p>
            <w:r/>
            <w:r>
              <w:rPr>
                <w:rFonts w:ascii="Aptos" w:hAnsi="Aptos"/>
                <w:b w:val="0"/>
                <w:sz w:val="16"/>
              </w:rPr>
              <w:t>Working scenario</w:t>
            </w:r>
          </w:p>
        </w:tc>
      </w:tr>
      <w:tr>
        <w:tc>
          <w:tcPr>
            <w:tcW w:type="dxa" w:w="2541"/>
            <w:vAlign w:val="center"/>
          </w:tcPr>
          <w:p>
            <w:r/>
            <w:r>
              <w:rPr>
                <w:rFonts w:ascii="Aptos" w:hAnsi="Aptos"/>
                <w:b w:val="0"/>
                <w:sz w:val="16"/>
              </w:rPr>
              <w:t>Upper</w:t>
            </w:r>
          </w:p>
        </w:tc>
        <w:tc>
          <w:tcPr>
            <w:tcW w:type="dxa" w:w="2541"/>
            <w:vAlign w:val="center"/>
          </w:tcPr>
          <w:p>
            <w:r/>
            <w:r>
              <w:rPr>
                <w:rFonts w:ascii="Aptos" w:hAnsi="Aptos"/>
                <w:b w:val="0"/>
                <w:sz w:val="16"/>
              </w:rPr>
              <w:t>2 per week</w:t>
            </w:r>
          </w:p>
        </w:tc>
        <w:tc>
          <w:tcPr>
            <w:tcW w:type="dxa" w:w="2541"/>
            <w:vAlign w:val="center"/>
          </w:tcPr>
          <w:p>
            <w:r/>
            <w:r>
              <w:rPr>
                <w:rFonts w:ascii="Aptos" w:hAnsi="Aptos"/>
                <w:b w:val="0"/>
                <w:sz w:val="16"/>
              </w:rPr>
              <w:t>~1,040</w:t>
            </w:r>
          </w:p>
        </w:tc>
        <w:tc>
          <w:tcPr>
            <w:tcW w:type="dxa" w:w="2541"/>
            <w:vAlign w:val="center"/>
          </w:tcPr>
          <w:p>
            <w:r/>
            <w:r>
              <w:rPr>
                <w:rFonts w:ascii="Aptos" w:hAnsi="Aptos"/>
                <w:b w:val="0"/>
                <w:sz w:val="16"/>
              </w:rPr>
              <w:t>Working scenario</w:t>
            </w:r>
          </w:p>
        </w:tc>
      </w:tr>
    </w:tbl>
    <w:p>
      <w:pPr>
        <w:pStyle w:val="Small"/>
      </w:pPr>
    </w:p>
    <w:p>
      <w:pPr/>
      <w:r>
        <w:t>The operator publicly confirms stewardship from 2017, which is roughly nine years by August 2026. The ten-year window in this report is therefore a modelling window based on the frequency supplied for the project and may include pre-2017 activity; it must not be mistaken for a website-confirmed Event Horizon firing history.</w:t>
      </w:r>
    </w:p>
    <w:p>
      <w:pPr>
        <w:pStyle w:val="Heading2"/>
      </w:pPr>
      <w:r>
        <w:t>4.2 Number of energetic events per test day</w:t>
      </w:r>
    </w:p>
    <w:tbl>
      <w:tblPr>
        <w:tblStyle w:val="TableGrid"/>
        <w:tblW w:type="auto" w:w="0"/>
        <w:jc w:val="center"/>
        <w:tblLook w:firstColumn="1" w:firstRow="1" w:lastColumn="0" w:lastRow="0" w:noHBand="0" w:noVBand="1" w:val="04A0"/>
      </w:tblPr>
      <w:tblGrid>
        <w:gridCol w:w="1694"/>
        <w:gridCol w:w="1694"/>
        <w:gridCol w:w="1694"/>
        <w:gridCol w:w="1694"/>
        <w:gridCol w:w="1694"/>
        <w:gridCol w:w="1694"/>
      </w:tblGrid>
      <w:tr>
        <w:tc>
          <w:tcPr>
            <w:tcW w:type="dxa" w:w="1694"/>
            <w:vAlign w:val="center"/>
            <w:shd w:fill="D9EAF7"/>
          </w:tcPr>
          <w:p>
            <w:r/>
            <w:r>
              <w:rPr>
                <w:rFonts w:ascii="Aptos" w:hAnsi="Aptos"/>
                <w:b/>
                <w:sz w:val="15"/>
              </w:rPr>
              <w:t>Test-day scenario</w:t>
            </w:r>
          </w:p>
        </w:tc>
        <w:tc>
          <w:tcPr>
            <w:tcW w:type="dxa" w:w="1694"/>
            <w:vAlign w:val="center"/>
            <w:shd w:fill="D9EAF7"/>
          </w:tcPr>
          <w:p>
            <w:r/>
            <w:r>
              <w:rPr>
                <w:rFonts w:ascii="Aptos" w:hAnsi="Aptos"/>
                <w:b/>
                <w:sz w:val="15"/>
              </w:rPr>
              <w:t>Test days</w:t>
            </w:r>
          </w:p>
        </w:tc>
        <w:tc>
          <w:tcPr>
            <w:tcW w:type="dxa" w:w="1694"/>
            <w:vAlign w:val="center"/>
            <w:shd w:fill="D9EAF7"/>
          </w:tcPr>
          <w:p>
            <w:r/>
            <w:r>
              <w:rPr>
                <w:rFonts w:ascii="Aptos" w:hAnsi="Aptos"/>
                <w:b/>
                <w:sz w:val="15"/>
              </w:rPr>
              <w:t>1 event/day</w:t>
            </w:r>
          </w:p>
        </w:tc>
        <w:tc>
          <w:tcPr>
            <w:tcW w:type="dxa" w:w="1694"/>
            <w:vAlign w:val="center"/>
            <w:shd w:fill="D9EAF7"/>
          </w:tcPr>
          <w:p>
            <w:r/>
            <w:r>
              <w:rPr>
                <w:rFonts w:ascii="Aptos" w:hAnsi="Aptos"/>
                <w:b/>
                <w:sz w:val="15"/>
              </w:rPr>
              <w:t>2 events/day</w:t>
            </w:r>
          </w:p>
        </w:tc>
        <w:tc>
          <w:tcPr>
            <w:tcW w:type="dxa" w:w="1694"/>
            <w:vAlign w:val="center"/>
            <w:shd w:fill="D9EAF7"/>
          </w:tcPr>
          <w:p>
            <w:r/>
            <w:r>
              <w:rPr>
                <w:rFonts w:ascii="Aptos" w:hAnsi="Aptos"/>
                <w:b/>
                <w:sz w:val="15"/>
              </w:rPr>
              <w:t>3 events/day</w:t>
            </w:r>
          </w:p>
        </w:tc>
        <w:tc>
          <w:tcPr>
            <w:tcW w:type="dxa" w:w="1694"/>
            <w:vAlign w:val="center"/>
            <w:shd w:fill="D9EAF7"/>
          </w:tcPr>
          <w:p>
            <w:r/>
            <w:r>
              <w:rPr>
                <w:rFonts w:ascii="Aptos" w:hAnsi="Aptos"/>
                <w:b/>
                <w:sz w:val="15"/>
              </w:rPr>
              <w:t>5 events/day</w:t>
            </w:r>
          </w:p>
        </w:tc>
      </w:tr>
      <w:tr>
        <w:tc>
          <w:tcPr>
            <w:tcW w:type="dxa" w:w="1694"/>
            <w:vAlign w:val="center"/>
          </w:tcPr>
          <w:p>
            <w:r/>
            <w:r>
              <w:rPr>
                <w:rFonts w:ascii="Aptos" w:hAnsi="Aptos"/>
                <w:b w:val="0"/>
                <w:sz w:val="15"/>
              </w:rPr>
              <w:t>1/week</w:t>
            </w:r>
          </w:p>
        </w:tc>
        <w:tc>
          <w:tcPr>
            <w:tcW w:type="dxa" w:w="1694"/>
            <w:vAlign w:val="center"/>
          </w:tcPr>
          <w:p>
            <w:r/>
            <w:r>
              <w:rPr>
                <w:rFonts w:ascii="Aptos" w:hAnsi="Aptos"/>
                <w:b w:val="0"/>
                <w:sz w:val="15"/>
              </w:rPr>
              <w:t>520</w:t>
            </w:r>
          </w:p>
        </w:tc>
        <w:tc>
          <w:tcPr>
            <w:tcW w:type="dxa" w:w="1694"/>
            <w:vAlign w:val="center"/>
          </w:tcPr>
          <w:p>
            <w:r/>
            <w:r>
              <w:rPr>
                <w:rFonts w:ascii="Aptos" w:hAnsi="Aptos"/>
                <w:b w:val="0"/>
                <w:sz w:val="15"/>
              </w:rPr>
              <w:t>520</w:t>
            </w:r>
          </w:p>
        </w:tc>
        <w:tc>
          <w:tcPr>
            <w:tcW w:type="dxa" w:w="1694"/>
            <w:vAlign w:val="center"/>
          </w:tcPr>
          <w:p>
            <w:r/>
            <w:r>
              <w:rPr>
                <w:rFonts w:ascii="Aptos" w:hAnsi="Aptos"/>
                <w:b w:val="0"/>
                <w:sz w:val="15"/>
              </w:rPr>
              <w:t>1040</w:t>
            </w:r>
          </w:p>
        </w:tc>
        <w:tc>
          <w:tcPr>
            <w:tcW w:type="dxa" w:w="1694"/>
            <w:vAlign w:val="center"/>
          </w:tcPr>
          <w:p>
            <w:r/>
            <w:r>
              <w:rPr>
                <w:rFonts w:ascii="Aptos" w:hAnsi="Aptos"/>
                <w:b w:val="0"/>
                <w:sz w:val="15"/>
              </w:rPr>
              <w:t>1560</w:t>
            </w:r>
          </w:p>
        </w:tc>
        <w:tc>
          <w:tcPr>
            <w:tcW w:type="dxa" w:w="1694"/>
            <w:vAlign w:val="center"/>
          </w:tcPr>
          <w:p>
            <w:r/>
            <w:r>
              <w:rPr>
                <w:rFonts w:ascii="Aptos" w:hAnsi="Aptos"/>
                <w:b w:val="0"/>
                <w:sz w:val="15"/>
              </w:rPr>
              <w:t>2600</w:t>
            </w:r>
          </w:p>
        </w:tc>
      </w:tr>
      <w:tr>
        <w:tc>
          <w:tcPr>
            <w:tcW w:type="dxa" w:w="1694"/>
            <w:vAlign w:val="center"/>
          </w:tcPr>
          <w:p>
            <w:r/>
            <w:r>
              <w:rPr>
                <w:rFonts w:ascii="Aptos" w:hAnsi="Aptos"/>
                <w:b w:val="0"/>
                <w:sz w:val="15"/>
              </w:rPr>
              <w:t>1.5/week</w:t>
            </w:r>
          </w:p>
        </w:tc>
        <w:tc>
          <w:tcPr>
            <w:tcW w:type="dxa" w:w="1694"/>
            <w:vAlign w:val="center"/>
          </w:tcPr>
          <w:p>
            <w:r/>
            <w:r>
              <w:rPr>
                <w:rFonts w:ascii="Aptos" w:hAnsi="Aptos"/>
                <w:b w:val="0"/>
                <w:sz w:val="15"/>
              </w:rPr>
              <w:t>780</w:t>
            </w:r>
          </w:p>
        </w:tc>
        <w:tc>
          <w:tcPr>
            <w:tcW w:type="dxa" w:w="1694"/>
            <w:vAlign w:val="center"/>
          </w:tcPr>
          <w:p>
            <w:r/>
            <w:r>
              <w:rPr>
                <w:rFonts w:ascii="Aptos" w:hAnsi="Aptos"/>
                <w:b w:val="0"/>
                <w:sz w:val="15"/>
              </w:rPr>
              <w:t>780</w:t>
            </w:r>
          </w:p>
        </w:tc>
        <w:tc>
          <w:tcPr>
            <w:tcW w:type="dxa" w:w="1694"/>
            <w:vAlign w:val="center"/>
          </w:tcPr>
          <w:p>
            <w:r/>
            <w:r>
              <w:rPr>
                <w:rFonts w:ascii="Aptos" w:hAnsi="Aptos"/>
                <w:b w:val="0"/>
                <w:sz w:val="15"/>
              </w:rPr>
              <w:t>1560</w:t>
            </w:r>
          </w:p>
        </w:tc>
        <w:tc>
          <w:tcPr>
            <w:tcW w:type="dxa" w:w="1694"/>
            <w:vAlign w:val="center"/>
          </w:tcPr>
          <w:p>
            <w:r/>
            <w:r>
              <w:rPr>
                <w:rFonts w:ascii="Aptos" w:hAnsi="Aptos"/>
                <w:b w:val="0"/>
                <w:sz w:val="15"/>
              </w:rPr>
              <w:t>2340</w:t>
            </w:r>
          </w:p>
        </w:tc>
        <w:tc>
          <w:tcPr>
            <w:tcW w:type="dxa" w:w="1694"/>
            <w:vAlign w:val="center"/>
          </w:tcPr>
          <w:p>
            <w:r/>
            <w:r>
              <w:rPr>
                <w:rFonts w:ascii="Aptos" w:hAnsi="Aptos"/>
                <w:b w:val="0"/>
                <w:sz w:val="15"/>
              </w:rPr>
              <w:t>3900</w:t>
            </w:r>
          </w:p>
        </w:tc>
      </w:tr>
      <w:tr>
        <w:tc>
          <w:tcPr>
            <w:tcW w:type="dxa" w:w="1694"/>
            <w:vAlign w:val="center"/>
          </w:tcPr>
          <w:p>
            <w:r/>
            <w:r>
              <w:rPr>
                <w:rFonts w:ascii="Aptos" w:hAnsi="Aptos"/>
                <w:b w:val="0"/>
                <w:sz w:val="15"/>
              </w:rPr>
              <w:t>2/week</w:t>
            </w:r>
          </w:p>
        </w:tc>
        <w:tc>
          <w:tcPr>
            <w:tcW w:type="dxa" w:w="1694"/>
            <w:vAlign w:val="center"/>
          </w:tcPr>
          <w:p>
            <w:r/>
            <w:r>
              <w:rPr>
                <w:rFonts w:ascii="Aptos" w:hAnsi="Aptos"/>
                <w:b w:val="0"/>
                <w:sz w:val="15"/>
              </w:rPr>
              <w:t>1040</w:t>
            </w:r>
          </w:p>
        </w:tc>
        <w:tc>
          <w:tcPr>
            <w:tcW w:type="dxa" w:w="1694"/>
            <w:vAlign w:val="center"/>
          </w:tcPr>
          <w:p>
            <w:r/>
            <w:r>
              <w:rPr>
                <w:rFonts w:ascii="Aptos" w:hAnsi="Aptos"/>
                <w:b w:val="0"/>
                <w:sz w:val="15"/>
              </w:rPr>
              <w:t>1040</w:t>
            </w:r>
          </w:p>
        </w:tc>
        <w:tc>
          <w:tcPr>
            <w:tcW w:type="dxa" w:w="1694"/>
            <w:vAlign w:val="center"/>
          </w:tcPr>
          <w:p>
            <w:r/>
            <w:r>
              <w:rPr>
                <w:rFonts w:ascii="Aptos" w:hAnsi="Aptos"/>
                <w:b w:val="0"/>
                <w:sz w:val="15"/>
              </w:rPr>
              <w:t>2080</w:t>
            </w:r>
          </w:p>
        </w:tc>
        <w:tc>
          <w:tcPr>
            <w:tcW w:type="dxa" w:w="1694"/>
            <w:vAlign w:val="center"/>
          </w:tcPr>
          <w:p>
            <w:r/>
            <w:r>
              <w:rPr>
                <w:rFonts w:ascii="Aptos" w:hAnsi="Aptos"/>
                <w:b w:val="0"/>
                <w:sz w:val="15"/>
              </w:rPr>
              <w:t>3120</w:t>
            </w:r>
          </w:p>
        </w:tc>
        <w:tc>
          <w:tcPr>
            <w:tcW w:type="dxa" w:w="1694"/>
            <w:vAlign w:val="center"/>
          </w:tcPr>
          <w:p>
            <w:r/>
            <w:r>
              <w:rPr>
                <w:rFonts w:ascii="Aptos" w:hAnsi="Aptos"/>
                <w:b w:val="0"/>
                <w:sz w:val="15"/>
              </w:rPr>
              <w:t>5200</w:t>
            </w:r>
          </w:p>
        </w:tc>
      </w:tr>
    </w:tbl>
    <w:p>
      <w:pPr>
        <w:pStyle w:val="Small"/>
      </w:pPr>
    </w:p>
    <w:p>
      <w:pPr/>
      <w:r>
        <w:t>This yields a sensitivity envelope of roughly 520–5,200 energetic events. The purpose is not to suggest 5,200 occurred; it is to define the range of cumulative loading that becomes possible if multiple firings occurred on test days. The firing ledger is therefore a primary evidential target.</w:t>
      </w:r>
    </w:p>
    <w:p>
      <w:pPr>
        <w:pStyle w:val="Heading2"/>
      </w:pPr>
      <w:r>
        <w:t>4.3 Why cumulative analysis differs from single-event analysis</w:t>
      </w:r>
    </w:p>
    <w:p>
      <w:pPr>
        <w:pStyle w:val="ListBullet"/>
      </w:pPr>
      <w:r>
        <w:t>Repeated deposition can create a source mass even where each individual event leaves a small residue.</w:t>
      </w:r>
    </w:p>
    <w:p>
      <w:pPr>
        <w:pStyle w:val="ListBullet"/>
      </w:pPr>
      <w:r>
        <w:t>Low-order or incomplete events may contribute much larger local residues than efficient high-order detonations [S9].</w:t>
      </w:r>
    </w:p>
    <w:p>
      <w:pPr>
        <w:pStyle w:val="ListBullet"/>
      </w:pPr>
      <w:r>
        <w:t>Repeated vibration can interact with pre-existing discontinuities, voids, historic workings and degraded ground even where no single event exceeds a damage criterion; this requires site-specific geotechnical modelling, not assumption.</w:t>
      </w:r>
    </w:p>
    <w:p>
      <w:pPr>
        <w:pStyle w:val="ListBullet"/>
      </w:pPr>
      <w:r>
        <w:t>Repeated flushing by Cornwall rainfall can move dissolved or particulate constituents away from source areas and into fracture flow, mine drainage, sediment traps or surface waters.</w:t>
      </w:r>
    </w:p>
    <w:p>
      <w:pPr>
        <w:pStyle w:val="ListBullet"/>
      </w:pPr>
      <w:r>
        <w:t>Repeated public occupation can resuspend settled dust even if transient blast gases have dispersed.</w:t>
      </w:r>
    </w:p>
    <w:p>
      <w:pPr>
        <w:pStyle w:val="Heading1"/>
      </w:pPr>
      <w:r>
        <w:t>5. Underground Air: Blast Products, Dust, Ventilation and Re-entry</w:t>
      </w:r>
    </w:p>
    <w:p>
      <w:pPr/>
      <w:r>
        <w:t>An explosive event in a confined underground environment can generate a mixture of gases, aerosols, fragments and mineral dust. The exact composition depends on explosive formulation, oxygen balance, confinement, material being destroyed, humidity and post-blast ventilation. Carbon monoxide and nitrogen oxides are recognised post-blast concerns in underground explosive work; respirable and inhalable particulate can also be generated from both explosive products and pulverised rock. The report does not assume a particular gas profile at Holmans without measurements.</w:t>
      </w:r>
    </w:p>
    <w:p>
      <w:pPr/>
      <w:r>
        <w:t>HSE’s confined-space guidance is relevant to the control logic even where a specific recreational tunnel may or may not meet the legal definition in every circumstance. HSE warns that enclosed spaces can present risks from noxious fumes, reduced oxygen and fire/explosion, and states that harmful fumes should be ventilated or removed and entry should not occur until safety is established [S7].</w:t>
      </w:r>
    </w:p>
    <w:p>
      <w:pPr>
        <w:pStyle w:val="Heading2"/>
      </w:pPr>
      <w:r>
        <w:t>5.1 Required atmosphere-clearance evidence</w:t>
      </w:r>
    </w:p>
    <w:p>
      <w:pPr>
        <w:pStyle w:val="ListBullet"/>
      </w:pPr>
      <w:r>
        <w:t>Pre-test baseline O2, CO, CO2, NO and NO2 where relevant to the energetic formulation and test object.</w:t>
      </w:r>
    </w:p>
    <w:p>
      <w:pPr>
        <w:pStyle w:val="ListBullet"/>
      </w:pPr>
      <w:r>
        <w:t>Post-test measurements at defined intervals and at multiple elevations/locations, including dead ends and low points.</w:t>
      </w:r>
    </w:p>
    <w:p>
      <w:pPr>
        <w:pStyle w:val="ListBullet"/>
      </w:pPr>
      <w:r>
        <w:t>Airflow direction, velocity and volumetric ventilation rate; fan performance and maintenance records.</w:t>
      </w:r>
    </w:p>
    <w:p>
      <w:pPr>
        <w:pStyle w:val="ListBullet"/>
      </w:pPr>
      <w:r>
        <w:t>Formal re-entry / gas-free criterion, sign-off person and timestamp.</w:t>
      </w:r>
    </w:p>
    <w:p>
      <w:pPr>
        <w:pStyle w:val="ListBullet"/>
      </w:pPr>
      <w:r>
        <w:t>Particulate monitoring (inhalable and respirable fractions) and settled dust sampling.</w:t>
      </w:r>
    </w:p>
    <w:p>
      <w:pPr>
        <w:pStyle w:val="ListBullet"/>
      </w:pPr>
      <w:r>
        <w:t>Any occupational hygiene measurements used to justify public access areas.</w:t>
      </w:r>
    </w:p>
    <w:p>
      <w:pPr>
        <w:pStyle w:val="ListBullet"/>
      </w:pPr>
      <w:r>
        <w:t>Interface procedure proving how an explosives test area is handed back for non-explosive use.</w:t>
      </w:r>
    </w:p>
    <w:p>
      <w:pPr>
        <w:pStyle w:val="Heading2"/>
      </w:pPr>
      <w:r>
        <w:t>5.2 The ventilation exhaust is an environmental receptor</w:t>
      </w:r>
    </w:p>
    <w:p>
      <w:pPr/>
      <w:r>
        <w:t>Forced ventilation removes airborne material from the underground space but does not eliminate mass; it transfers gases and particles to an exhaust location. The intake/exhaust network should therefore be mapped. Soil, vegetation and deposited dust around exhaust points should be considered for targeted sampling, with prevailing wind direction and topography included in interpretation.</w:t>
      </w:r>
    </w:p>
    <w:p>
      <w:pPr>
        <w:pStyle w:val="Heading1"/>
      </w:pPr>
      <w:r>
        <w:t>6. Water and Hydrogeology: The Core Environmental Pathway</w:t>
      </w:r>
    </w:p>
    <w:p>
      <w:pPr/>
      <w:r>
        <w:t>The highest-priority environmental question is whether water can connect test areas, flooded workings or contaminated surfaces to groundwater, mine drainage, springs or surface streams. Environment Agency guidance defines groundwater activity broadly and recognises both point-source and diffuse pollution; it expressly notes that diffuse pollution can arise from cumulative small events and that site geology must be considered [S10].</w:t>
      </w:r>
    </w:p>
    <w:p>
      <w:pPr/>
      <w:r>
        <w:t>The correct hydrogeological model is not simply “mine water flows downhill”. Mine systems can have perched water, blocked adits, connected shafts, fracture-controlled flow, preferential pathways, seasonal reversal, storage within flooded workings and delayed discharge following rainfall. A specialist hydrogeologist should construct a conceptual site model from mine plans, topography, BGS structure, water levels, rainfall response and chemistry.</w:t>
      </w:r>
    </w:p>
    <w:p>
      <w:pPr>
        <w:pStyle w:val="Heading2"/>
      </w:pPr>
      <w:r>
        <w:t>6.1 Source–pathway–receptor chain</w:t>
      </w:r>
    </w:p>
    <w:tbl>
      <w:tblPr>
        <w:tblStyle w:val="TableGrid"/>
        <w:tblW w:type="auto" w:w="0"/>
        <w:jc w:val="center"/>
        <w:tblLook w:firstColumn="1" w:firstRow="1" w:lastColumn="0" w:lastRow="0" w:noHBand="0" w:noVBand="1" w:val="04A0"/>
      </w:tblPr>
      <w:tblGrid>
        <w:gridCol w:w="10166"/>
      </w:tblGrid>
      <w:tr>
        <w:tc>
          <w:tcPr>
            <w:tcW w:type="dxa" w:w="10166"/>
            <w:shd w:fill="E2F0D9"/>
          </w:tcPr>
          <w:p>
            <w:r/>
            <w:r>
              <w:rPr>
                <w:b/>
                <w:color w:val="1F4E79"/>
                <w:sz w:val="18"/>
              </w:rPr>
              <w:t>CONCEPTUAL MODEL</w:t>
              <w:br/>
            </w:r>
            <w:r>
              <w:rPr>
                <w:sz w:val="17"/>
              </w:rPr>
              <w:t>Energetic test chamber / destroyed test article → residue, dust and freshly fractured mineral surfaces → tunnel floor/walls and water films → flooded heading / sump / fractures / adits → groundwater and mine drainage → springs / stream / sediment → vegetation and trees → aquatic invertebrates and wildlife → downstream human or domestic-water receptors.</w:t>
            </w:r>
          </w:p>
        </w:tc>
      </w:tr>
    </w:tbl>
    <w:p>
      <w:pPr>
        <w:pStyle w:val="Small"/>
      </w:pPr>
    </w:p>
    <w:p>
      <w:pPr>
        <w:pStyle w:val="Heading2"/>
      </w:pPr>
      <w:r>
        <w:t>6.2 Cornwall mine-water background is not a dismissal — it is a confounder to resolve</w:t>
      </w:r>
    </w:p>
    <w:p>
      <w:pPr/>
      <w:r>
        <w:t>Government mapping confirms that abandoned metal mines already pollute substantial lengths of rivers in Cornwall and Devon with metals including cadmium, lead, zinc, copper, nickel, arsenic and iron [S12]. The West Cornwall and Fal management catchment has documented mine-related exceedances across multiple systems [S13]. The Wheal Jane treatment scheme exists precisely because mine water can become highly metal-laden and acidic [S11].</w:t>
      </w:r>
    </w:p>
    <w:p>
      <w:pPr/>
      <w:r>
        <w:t>This background creates two competing explanations that must be separated analytically: (1) natural/historic mine geochemistry; and (2) incremental mobilisation or contamination associated with modern testing. The correct scientific design therefore requires upstream/up-gradient and unaffected controls, not one-off sampling only at the visibly affected point.</w:t>
      </w:r>
    </w:p>
    <w:p>
      <w:pPr>
        <w:pStyle w:val="Heading1"/>
      </w:pPr>
      <w:r>
        <w:t>7. Sulphur, Sulphide Minerals, Yellow/Ochre Water and Trees</w:t>
      </w:r>
    </w:p>
    <w:p>
      <w:pPr/>
      <w:r>
        <w:t>“High sulphur” is not a diagnosis. Sulphur can occur in different chemical forms and may arise from mineral sulphides, sulphate salts, sulphide/hydrogen-sulphide conditions, biological cycling, industrial inputs or analytical reporting conventions. Yellow or orange staining in mine water is often associated with iron oxyhydroxide precipitation, which can coexist with sulphate and other metals.</w:t>
      </w:r>
    </w:p>
    <w:p>
      <w:pPr/>
      <w:r>
        <w:t>Historic and academic material relating to Holmans and Cornish granites documents sulphide mineralisation including pyrite/arsenopyrite in relevant rock types [S15]. Oxidation of sulphide-bearing minerals exposed to oxygen and water is a recognised mechanism for acidity, sulphate and metal mobilisation. Repeated blasting could theoretically expose fresh mineral surfaces or alter water routes; whether it has done so at Holmans requires rock/mineralogical and hydrochemical evidence.</w:t>
      </w:r>
    </w:p>
    <w:p>
      <w:pPr>
        <w:pStyle w:val="Heading2"/>
      </w:pPr>
      <w:r>
        <w:t>7.1 Tree investigation design</w:t>
      </w:r>
    </w:p>
    <w:p>
      <w:pPr/>
      <w:r>
        <w:t>User-supplied project evidence includes reports of elevated sulphur associated with trees, a concentrated tree-fall / ground-depression area near approximately 50.1850998, -5.2902908, and sulphurous/metallic water observations. These observations are treated here as investigation leads, not proven blast effects.</w:t>
      </w:r>
    </w:p>
    <w:tbl>
      <w:tblPr>
        <w:tblStyle w:val="TableGrid"/>
        <w:tblW w:type="auto" w:w="0"/>
        <w:jc w:val="center"/>
        <w:tblLook w:firstColumn="1" w:firstRow="1" w:lastColumn="0" w:lastRow="0" w:noHBand="0" w:noVBand="1" w:val="04A0"/>
      </w:tblPr>
      <w:tblGrid>
        <w:gridCol w:w="3389"/>
        <w:gridCol w:w="3389"/>
        <w:gridCol w:w="3389"/>
      </w:tblGrid>
      <w:tr>
        <w:tc>
          <w:tcPr>
            <w:tcW w:type="dxa" w:w="3389"/>
            <w:vAlign w:val="center"/>
            <w:shd w:fill="D9EAF7"/>
          </w:tcPr>
          <w:p>
            <w:r/>
            <w:r>
              <w:rPr>
                <w:rFonts w:ascii="Aptos" w:hAnsi="Aptos"/>
                <w:b/>
                <w:sz w:val="16"/>
              </w:rPr>
              <w:t>Medium</w:t>
            </w:r>
          </w:p>
        </w:tc>
        <w:tc>
          <w:tcPr>
            <w:tcW w:type="dxa" w:w="3389"/>
            <w:vAlign w:val="center"/>
            <w:shd w:fill="D9EAF7"/>
          </w:tcPr>
          <w:p>
            <w:r/>
            <w:r>
              <w:rPr>
                <w:rFonts w:ascii="Aptos" w:hAnsi="Aptos"/>
                <w:b/>
                <w:sz w:val="16"/>
              </w:rPr>
              <w:t>Recommended analyses</w:t>
            </w:r>
          </w:p>
        </w:tc>
        <w:tc>
          <w:tcPr>
            <w:tcW w:type="dxa" w:w="3389"/>
            <w:vAlign w:val="center"/>
            <w:shd w:fill="D9EAF7"/>
          </w:tcPr>
          <w:p>
            <w:r/>
            <w:r>
              <w:rPr>
                <w:rFonts w:ascii="Aptos" w:hAnsi="Aptos"/>
                <w:b/>
                <w:sz w:val="16"/>
              </w:rPr>
              <w:t>Reason</w:t>
            </w:r>
          </w:p>
        </w:tc>
      </w:tr>
      <w:tr>
        <w:tc>
          <w:tcPr>
            <w:tcW w:type="dxa" w:w="3389"/>
            <w:vAlign w:val="center"/>
          </w:tcPr>
          <w:p>
            <w:r/>
            <w:r>
              <w:rPr>
                <w:rFonts w:ascii="Aptos" w:hAnsi="Aptos"/>
                <w:b w:val="0"/>
                <w:sz w:val="16"/>
              </w:rPr>
              <w:t>Leaves / needles</w:t>
            </w:r>
          </w:p>
        </w:tc>
        <w:tc>
          <w:tcPr>
            <w:tcW w:type="dxa" w:w="3389"/>
            <w:vAlign w:val="center"/>
          </w:tcPr>
          <w:p>
            <w:r/>
            <w:r>
              <w:rPr>
                <w:rFonts w:ascii="Aptos" w:hAnsi="Aptos"/>
                <w:b w:val="0"/>
                <w:sz w:val="16"/>
              </w:rPr>
              <w:t>Total S; selected metals/metalloids; nutrient balance</w:t>
            </w:r>
          </w:p>
        </w:tc>
        <w:tc>
          <w:tcPr>
            <w:tcW w:type="dxa" w:w="3389"/>
            <w:vAlign w:val="center"/>
          </w:tcPr>
          <w:p>
            <w:r/>
            <w:r>
              <w:rPr>
                <w:rFonts w:ascii="Aptos" w:hAnsi="Aptos"/>
                <w:b w:val="0"/>
                <w:sz w:val="16"/>
              </w:rPr>
              <w:t>Recent uptake / stress signal</w:t>
            </w:r>
          </w:p>
        </w:tc>
      </w:tr>
      <w:tr>
        <w:tc>
          <w:tcPr>
            <w:tcW w:type="dxa" w:w="3389"/>
            <w:vAlign w:val="center"/>
          </w:tcPr>
          <w:p>
            <w:r/>
            <w:r>
              <w:rPr>
                <w:rFonts w:ascii="Aptos" w:hAnsi="Aptos"/>
                <w:b w:val="0"/>
                <w:sz w:val="16"/>
              </w:rPr>
              <w:t>Bark / outer wood</w:t>
            </w:r>
          </w:p>
        </w:tc>
        <w:tc>
          <w:tcPr>
            <w:tcW w:type="dxa" w:w="3389"/>
            <w:vAlign w:val="center"/>
          </w:tcPr>
          <w:p>
            <w:r/>
            <w:r>
              <w:rPr>
                <w:rFonts w:ascii="Aptos" w:hAnsi="Aptos"/>
                <w:b w:val="0"/>
                <w:sz w:val="16"/>
              </w:rPr>
              <w:t>S; As; Fe; Cu; Zn; Pb; Mn; other site-indicated metals</w:t>
            </w:r>
          </w:p>
        </w:tc>
        <w:tc>
          <w:tcPr>
            <w:tcW w:type="dxa" w:w="3389"/>
            <w:vAlign w:val="center"/>
          </w:tcPr>
          <w:p>
            <w:r/>
            <w:r>
              <w:rPr>
                <w:rFonts w:ascii="Aptos" w:hAnsi="Aptos"/>
                <w:b w:val="0"/>
                <w:sz w:val="16"/>
              </w:rPr>
              <w:t>Longer-term deposition / uptake context</w:t>
            </w:r>
          </w:p>
        </w:tc>
      </w:tr>
      <w:tr>
        <w:tc>
          <w:tcPr>
            <w:tcW w:type="dxa" w:w="3389"/>
            <w:vAlign w:val="center"/>
          </w:tcPr>
          <w:p>
            <w:r/>
            <w:r>
              <w:rPr>
                <w:rFonts w:ascii="Aptos" w:hAnsi="Aptos"/>
                <w:b w:val="0"/>
                <w:sz w:val="16"/>
              </w:rPr>
              <w:t>Root-zone soil</w:t>
            </w:r>
          </w:p>
        </w:tc>
        <w:tc>
          <w:tcPr>
            <w:tcW w:type="dxa" w:w="3389"/>
            <w:vAlign w:val="center"/>
          </w:tcPr>
          <w:p>
            <w:r/>
            <w:r>
              <w:rPr>
                <w:rFonts w:ascii="Aptos" w:hAnsi="Aptos"/>
                <w:b w:val="0"/>
                <w:sz w:val="16"/>
              </w:rPr>
              <w:t>pH; EC; sulphate; sulphide where suitable; metals; mineralogy</w:t>
            </w:r>
          </w:p>
        </w:tc>
        <w:tc>
          <w:tcPr>
            <w:tcW w:type="dxa" w:w="3389"/>
            <w:vAlign w:val="center"/>
          </w:tcPr>
          <w:p>
            <w:r/>
            <w:r>
              <w:rPr>
                <w:rFonts w:ascii="Aptos" w:hAnsi="Aptos"/>
                <w:b w:val="0"/>
                <w:sz w:val="16"/>
              </w:rPr>
              <w:t>Distinguish soil source from foliar deposition</w:t>
            </w:r>
          </w:p>
        </w:tc>
      </w:tr>
      <w:tr>
        <w:tc>
          <w:tcPr>
            <w:tcW w:type="dxa" w:w="3389"/>
            <w:vAlign w:val="center"/>
          </w:tcPr>
          <w:p>
            <w:r/>
            <w:r>
              <w:rPr>
                <w:rFonts w:ascii="Aptos" w:hAnsi="Aptos"/>
                <w:b w:val="0"/>
                <w:sz w:val="16"/>
              </w:rPr>
              <w:t>Control trees</w:t>
            </w:r>
          </w:p>
        </w:tc>
        <w:tc>
          <w:tcPr>
            <w:tcW w:type="dxa" w:w="3389"/>
            <w:vAlign w:val="center"/>
          </w:tcPr>
          <w:p>
            <w:r/>
            <w:r>
              <w:rPr>
                <w:rFonts w:ascii="Aptos" w:hAnsi="Aptos"/>
                <w:b w:val="0"/>
                <w:sz w:val="16"/>
              </w:rPr>
              <w:t>Same panel at matched unaffected locations</w:t>
            </w:r>
          </w:p>
        </w:tc>
        <w:tc>
          <w:tcPr>
            <w:tcW w:type="dxa" w:w="3389"/>
            <w:vAlign w:val="center"/>
          </w:tcPr>
          <w:p>
            <w:r/>
            <w:r>
              <w:rPr>
                <w:rFonts w:ascii="Aptos" w:hAnsi="Aptos"/>
                <w:b w:val="0"/>
                <w:sz w:val="16"/>
              </w:rPr>
              <w:t>Establish local baseline and spatial gradient</w:t>
            </w:r>
          </w:p>
        </w:tc>
      </w:tr>
      <w:tr>
        <w:tc>
          <w:tcPr>
            <w:tcW w:type="dxa" w:w="3389"/>
            <w:vAlign w:val="center"/>
          </w:tcPr>
          <w:p>
            <w:r/>
            <w:r>
              <w:rPr>
                <w:rFonts w:ascii="Aptos" w:hAnsi="Aptos"/>
                <w:b w:val="0"/>
                <w:sz w:val="16"/>
              </w:rPr>
              <w:t>Stream sediment</w:t>
            </w:r>
          </w:p>
        </w:tc>
        <w:tc>
          <w:tcPr>
            <w:tcW w:type="dxa" w:w="3389"/>
            <w:vAlign w:val="center"/>
          </w:tcPr>
          <w:p>
            <w:r/>
            <w:r>
              <w:rPr>
                <w:rFonts w:ascii="Aptos" w:hAnsi="Aptos"/>
                <w:b w:val="0"/>
                <w:sz w:val="16"/>
              </w:rPr>
              <w:t>Metals; sulphur species where appropriate; energetic residues if indicated</w:t>
            </w:r>
          </w:p>
        </w:tc>
        <w:tc>
          <w:tcPr>
            <w:tcW w:type="dxa" w:w="3389"/>
            <w:vAlign w:val="center"/>
          </w:tcPr>
          <w:p>
            <w:r/>
            <w:r>
              <w:rPr>
                <w:rFonts w:ascii="Aptos" w:hAnsi="Aptos"/>
                <w:b w:val="0"/>
                <w:sz w:val="16"/>
              </w:rPr>
              <w:t>Integrates episodic transport better than a single water grab</w:t>
            </w:r>
          </w:p>
        </w:tc>
      </w:tr>
    </w:tbl>
    <w:p>
      <w:pPr>
        <w:pStyle w:val="Small"/>
      </w:pPr>
    </w:p>
    <w:p>
      <w:pPr>
        <w:pStyle w:val="Heading1"/>
      </w:pPr>
      <w:r>
        <w:t>8. Energetic Residues: What the Science Says and What It Does Not Prove</w:t>
      </w:r>
    </w:p>
    <w:p>
      <w:pPr/>
      <w:r>
        <w:t>RDX, HMX and TNT are used here as examples of well-studied energetic contaminants, not as claims about the Holmans inventory. EPA material states that RDX can be released through firing, ordnance disposal, detonation and demilitarisation and can migrate to groundwater, with movement influenced by soil composition and hydrogeology [S8]. A military-range residue study found that low-order detonations can be a major source of energetic residues and that residue distribution may be highly heterogeneous [S9].</w:t>
      </w:r>
    </w:p>
    <w:p>
      <w:pPr/>
      <w:r>
        <w:t>A key practical implication is sampling density. A clean sample does not necessarily exclude a localised energetic source, especially where residues are heterogeneously distributed. Conversely, detecting a compound would require source attribution, quality assurance, blanks and confirmation that it is not laboratory or handling contamination.</w:t>
      </w:r>
    </w:p>
    <w:p>
      <w:pPr>
        <w:pStyle w:val="Heading2"/>
      </w:pPr>
      <w:r>
        <w:t>8.1 Required inventory before laboratory selection</w:t>
      </w:r>
    </w:p>
    <w:p>
      <w:pPr>
        <w:pStyle w:val="ListBullet"/>
      </w:pPr>
      <w:r>
        <w:t>Explosive / propellant / pyrotechnic product name and formulation for each test class.</w:t>
      </w:r>
    </w:p>
    <w:p>
      <w:pPr>
        <w:pStyle w:val="ListBullet"/>
      </w:pPr>
      <w:r>
        <w:t>Net explosive quantity and number of shots per event.</w:t>
      </w:r>
    </w:p>
    <w:p>
      <w:pPr>
        <w:pStyle w:val="ListBullet"/>
      </w:pPr>
      <w:r>
        <w:t>Initiation system and boosters/detonators used.</w:t>
      </w:r>
    </w:p>
    <w:p>
      <w:pPr>
        <w:pStyle w:val="ListBullet"/>
      </w:pPr>
      <w:r>
        <w:t>Test article materials (e.g., engine alloy, munition casing, composite, coating, lubricant).</w:t>
      </w:r>
    </w:p>
    <w:p>
      <w:pPr>
        <w:pStyle w:val="ListBullet"/>
      </w:pPr>
      <w:r>
        <w:t>High-order, low-order, misfire and disposal records.</w:t>
      </w:r>
    </w:p>
    <w:p>
      <w:pPr>
        <w:pStyle w:val="ListBullet"/>
      </w:pPr>
      <w:r>
        <w:t>Post-test debris recovery, housekeeping and waste classification/disposal records.</w:t>
      </w:r>
    </w:p>
    <w:p>
      <w:pPr/>
      <w:r>
        <w:t>Only then should the laboratory schedule be finalised. Depending on the inventory it may include RDX/HMX/TNT and transformation products, nitroglycerin, perchlorate, PETN, nitroaromatics or other site-specific energetic constituents. This is an analytical decision, not a generic “explosives test”.</w:t>
      </w:r>
    </w:p>
    <w:p>
      <w:pPr>
        <w:pStyle w:val="Heading1"/>
      </w:pPr>
      <w:r>
        <w:t>9. Misfires and Incomplete Detonation: A Site-Specific Historical Relevance</w:t>
      </w:r>
    </w:p>
    <w:p>
      <w:pPr/>
      <w:r>
        <w:t>A 2013 research thesis titled “Misfires Identification in Tunnel Blasts” reports research at Holmans Test Mine in which misfires were identified after full-face tunnel blasts and unexploded detonators/explosive cartridges were retrieved [S14]. This predates current stewardship and must not be represented as evidence of current operator failures.</w:t>
      </w:r>
    </w:p>
    <w:p>
      <w:pPr/>
      <w:r>
        <w:t>Its relevance is technical: the exact mine has historically been used to study the recognised underground-blasting problem of incomplete initiation. Because energetic-residue literature shows that low-order or incomplete events can disproportionately contribute residue [S9], current misfire/low-order records are important environmental as well as safety documents.</w:t>
      </w:r>
    </w:p>
    <w:p>
      <w:pPr>
        <w:pStyle w:val="Heading1"/>
      </w:pPr>
      <w:r>
        <w:t>10. Public and Youth Access: The Control Question</w:t>
      </w:r>
    </w:p>
    <w:p>
      <w:pPr/>
      <w:r>
        <w:t>Blackout’s current rules expressly contemplate under-16 participants accompanied by adults [S2]. This converts the public-access issue from a purely occupational workplace question into a broader duty-of-care and premises-risk question. The investigation should determine which underground zones are accessible to players, how they are physically separated from test/storage infrastructure, how access is transferred between operators, and what objective criteria are used after explosive testing.</w:t>
      </w:r>
    </w:p>
    <w:p>
      <w:pPr>
        <w:pStyle w:val="Heading2"/>
      </w:pPr>
      <w:r>
        <w:t>10.1 Key questions for the public-access interface</w:t>
      </w:r>
    </w:p>
    <w:p>
      <w:pPr>
        <w:pStyle w:val="ListBullet"/>
      </w:pPr>
      <w:r>
        <w:t>What is the minimum interval between the end of explosive testing and Airsoft occupation of connected workings?</w:t>
      </w:r>
    </w:p>
    <w:p>
      <w:pPr>
        <w:pStyle w:val="ListBullet"/>
      </w:pPr>
      <w:r>
        <w:t>Who signs the mine back into recreational use, and on what measurements?</w:t>
      </w:r>
    </w:p>
    <w:p>
      <w:pPr>
        <w:pStyle w:val="ListBullet"/>
      </w:pPr>
      <w:r>
        <w:t>Are Airsoft routes within the same ventilation circuit as test chambers?</w:t>
      </w:r>
    </w:p>
    <w:p>
      <w:pPr>
        <w:pStyle w:val="ListBullet"/>
      </w:pPr>
      <w:r>
        <w:t>Are any blast doors, test headings, magazines, workshops, flooded headings or ventilation shafts accessible or immediately adjacent to gameplay areas?</w:t>
      </w:r>
    </w:p>
    <w:p>
      <w:pPr>
        <w:pStyle w:val="ListBullet"/>
      </w:pPr>
      <w:r>
        <w:t>Are settled dust or residues routinely removed before public use?</w:t>
      </w:r>
    </w:p>
    <w:p>
      <w:pPr>
        <w:pStyle w:val="ListBullet"/>
      </w:pPr>
      <w:r>
        <w:t>Are children/youth participants considered in the risk assessment?</w:t>
      </w:r>
    </w:p>
    <w:p>
      <w:pPr>
        <w:pStyle w:val="ListBullet"/>
      </w:pPr>
      <w:r>
        <w:t>Are emergency egress, tally systems, flooding, smoke migration, fire, misfire and unexploded energetic hazards integrated into the Airsoft emergency plan?</w:t>
      </w:r>
    </w:p>
    <w:p>
      <w:pPr>
        <w:pStyle w:val="Heading1"/>
      </w:pPr>
      <w:r>
        <w:t>11. Ground Stability, Vibration and Existing Mine Workings</w:t>
      </w:r>
    </w:p>
    <w:p>
      <w:pPr/>
      <w:r>
        <w:t>Historic mine workings are intrinsically heterogeneous: voids, stopes, shafts, cross-courses, altered rock, backfill and weathered zones can respond very differently to vibration. It would be scientifically unsound to attribute reported sinkholes or tree-fall depressions to blasting solely by proximity. It would be equally unsound to exclude blasting without knowing charge weights, distance, confinement, wave propagation, existing void geometry and baseline ground condition.</w:t>
      </w:r>
    </w:p>
    <w:p>
      <w:pPr>
        <w:pStyle w:val="Heading2"/>
      </w:pPr>
      <w:r>
        <w:t>11.1 Required geotechnical reconstruction</w:t>
      </w:r>
    </w:p>
    <w:p>
      <w:pPr>
        <w:pStyle w:val="ListBullet"/>
      </w:pPr>
      <w:r>
        <w:t>All mine plans, laser scans and surveyed void geometry available for Holmans and adjacent workings.</w:t>
      </w:r>
    </w:p>
    <w:p>
      <w:pPr>
        <w:pStyle w:val="ListBullet"/>
      </w:pPr>
      <w:r>
        <w:t>BGS faults, fractures, veins, shafts, boreholes and superficial deposits.</w:t>
      </w:r>
    </w:p>
    <w:p>
      <w:pPr>
        <w:pStyle w:val="ListBullet"/>
      </w:pPr>
      <w:r>
        <w:t>Test-chamber coordinates and charge locations by date.</w:t>
      </w:r>
    </w:p>
    <w:p>
      <w:pPr>
        <w:pStyle w:val="ListBullet"/>
      </w:pPr>
      <w:r>
        <w:t>Net explosive quantity and maximum instantaneous charge.</w:t>
      </w:r>
    </w:p>
    <w:p>
      <w:pPr>
        <w:pStyle w:val="ListBullet"/>
      </w:pPr>
      <w:r>
        <w:t>Any vibration monitoring / peak particle velocity (PPV) records.</w:t>
      </w:r>
    </w:p>
    <w:p>
      <w:pPr>
        <w:pStyle w:val="ListBullet"/>
      </w:pPr>
      <w:r>
        <w:t>Chronology of reported surface subsidence, sinkholes, tree root-plate failures and ground cracking.</w:t>
      </w:r>
    </w:p>
    <w:p>
      <w:pPr>
        <w:pStyle w:val="ListBullet"/>
      </w:pPr>
      <w:r>
        <w:t>Rainfall and groundwater levels to test non-blast mechanisms such as saturation, erosion and void migration.</w:t>
      </w:r>
    </w:p>
    <w:p>
      <w:pPr/>
      <w:r>
        <w:t>A mining geotechnical engineer / blasting engineer should then assess whether measured or reconstructed vibration could plausibly contribute to deterioration of pre-existing weakness. This is a probabilistic causation question, not a generic “blast radius” graphic.</w:t>
      </w:r>
    </w:p>
    <w:p>
      <w:pPr>
        <w:pStyle w:val="Heading1"/>
      </w:pPr>
      <w:r>
        <w:t>12. Ecological Receptors</w:t>
      </w:r>
    </w:p>
    <w:p>
      <w:pPr/>
      <w:r>
        <w:t>The Land Protection project has identified wildlife observations including otter, kingfisher, bats, badgers, peregrine/buzzard and aquatic/woodland species. These observations are important as receptor evidence but must be verified through ecological survey and record-centre data before formal designation claims are made.</w:t>
      </w:r>
    </w:p>
    <w:p>
      <w:pPr/>
      <w:r>
        <w:t>For aquatic ecology, the most informative chain is water chemistry → sediment chemistry → macroinvertebrate community → higher trophic receptors. A macroinvertebrate survey upstream and downstream can provide an integrated measure of chronic water-quality stress that a single chemical grab sample may miss.</w:t>
      </w:r>
    </w:p>
    <w:p>
      <w:pPr>
        <w:pStyle w:val="Heading2"/>
      </w:pPr>
      <w:r>
        <w:t>12.1 Priority ecological work</w:t>
      </w:r>
    </w:p>
    <w:p>
      <w:pPr>
        <w:pStyle w:val="ListBullet"/>
      </w:pPr>
      <w:r>
        <w:t>Upstream/downstream macroinvertebrate sampling using recognised indices.</w:t>
      </w:r>
    </w:p>
    <w:p>
      <w:pPr>
        <w:pStyle w:val="ListBullet"/>
      </w:pPr>
      <w:r>
        <w:t>eDNA or targeted survey where appropriate for protected aquatic species.</w:t>
      </w:r>
    </w:p>
    <w:p>
      <w:pPr>
        <w:pStyle w:val="ListBullet"/>
      </w:pPr>
      <w:r>
        <w:t>Bat activity / roost assessment around shafts and woodland corridors.</w:t>
      </w:r>
    </w:p>
    <w:p>
      <w:pPr>
        <w:pStyle w:val="ListBullet"/>
      </w:pPr>
      <w:r>
        <w:t>Otter signs and riparian habitat survey.</w:t>
      </w:r>
    </w:p>
    <w:p>
      <w:pPr>
        <w:pStyle w:val="ListBullet"/>
      </w:pPr>
      <w:r>
        <w:t>Vegetation stress mapping and lichen baseline where previous loss has been reported.</w:t>
      </w:r>
    </w:p>
    <w:p>
      <w:pPr>
        <w:pStyle w:val="ListBullet"/>
      </w:pPr>
      <w:r>
        <w:t>Sediment toxicity / metal bioavailability assessment where chemistry indicates concern.</w:t>
      </w:r>
    </w:p>
    <w:p>
      <w:pPr>
        <w:pStyle w:val="Heading1"/>
      </w:pPr>
      <w:r>
        <w:t>13. Regulatory and Legal Architecture — England</w:t>
      </w:r>
    </w:p>
    <w:p>
      <w:pPr>
        <w:pStyle w:val="Heading2"/>
      </w:pPr>
      <w:r>
        <w:t>13.1 Explosives licensing</w:t>
      </w:r>
    </w:p>
    <w:p>
      <w:pPr/>
      <w:r>
        <w:t>HSE’s published standard explosives-site licence terms define the licensed red-line site on Plan A, buildings/works on Plan B, permitted activities and locations in the Building Schedule, and permitted descriptions/amounts of explosives. The licensee must maintain control of licensed operations [S16]. This makes the licence plans and schedules critical documents for comparing explosive areas with Airsoft/public-access areas.</w:t>
      </w:r>
    </w:p>
    <w:p>
      <w:pPr/>
      <w:r>
        <w:t>HSE guidance on site sharing/subletting says the licensee must have effective control of licensed activities and specifically recognises situations involving subletting and multiple occupiers [S17]. The investigation should therefore ask HSE what licensed activities and separation arrangements apply at Holmans and whether the recreational operation falls inside, adjacent to, or outside the licensed explosives-site boundary.</w:t>
      </w:r>
    </w:p>
    <w:p>
      <w:pPr>
        <w:pStyle w:val="Heading2"/>
      </w:pPr>
      <w:r>
        <w:t>13.2 Groundwater / pollution control</w:t>
      </w:r>
    </w:p>
    <w:p>
      <w:pPr/>
      <w:r>
        <w:t>Environment Agency guidance states that any discharge of pollutants that enters groundwater directly or may enter soil and reach groundwater can be a groundwater activity; it distinguishes point-source and diffuse pollution and applies the precautionary principle where serious or irreversible harm may occur [S10]. A site-specific groundwater risk assessment should be carried out by an appropriately qualified professional [S18].</w:t>
      </w:r>
    </w:p>
    <w:p>
      <w:pPr>
        <w:pStyle w:val="Heading2"/>
      </w:pPr>
      <w:r>
        <w:t>13.3 Confined-space / atmosphere principles</w:t>
      </w:r>
    </w:p>
    <w:p>
      <w:pPr/>
      <w:r>
        <w:t>HSE guidance requires risk assessment and control where enclosed spaces present foreseeable risks such as noxious fumes, oxygen deficiency, fire/explosion, flooding or drowning [S7]. Even where the legal classification of specific Airsoft tunnels requires case-specific analysis, these principles are directly relevant to the competence of any re-entry, ventilation and emergency regime.</w:t>
      </w:r>
    </w:p>
    <w:p>
      <w:pPr>
        <w:pStyle w:val="Heading2"/>
      </w:pPr>
      <w:r>
        <w:t>13.4 Environmental permit question</w:t>
      </w:r>
    </w:p>
    <w:p>
      <w:pPr/>
      <w:r>
        <w:t>An explosives licence is not an environmental discharge permit. A separate enquiry should establish whether any water discharge, drainage, dewatering, waste disposal, contaminated-water management, exhaust discharge or other activity has required Environment Agency permitting, consent, exemption or notification.</w:t>
      </w:r>
    </w:p>
    <w:p>
      <w:pPr>
        <w:pStyle w:val="Heading1"/>
      </w:pPr>
      <w:r>
        <w:t>14. Forensic Sampling Programme</w:t>
      </w:r>
    </w:p>
    <w:p>
      <w:pPr>
        <w:pStyle w:val="Heading2"/>
      </w:pPr>
      <w:r>
        <w:t>14.1 Design principles</w:t>
      </w:r>
    </w:p>
    <w:p>
      <w:pPr>
        <w:pStyle w:val="ListBullet"/>
      </w:pPr>
      <w:r>
        <w:t>Use a UKAS-accredited laboratory for the relevant determinands.</w:t>
      </w:r>
    </w:p>
    <w:p>
      <w:pPr>
        <w:pStyle w:val="ListBullet"/>
      </w:pPr>
      <w:r>
        <w:t>Chain of custody, tamper-evident containers, field blanks, trip blanks where relevant, duplicates and laboratory QA/QC.</w:t>
      </w:r>
    </w:p>
    <w:p>
      <w:pPr>
        <w:pStyle w:val="ListBullet"/>
      </w:pPr>
      <w:r>
        <w:t>Pre-register sampling locations with GPS coordinates and photographs.</w:t>
      </w:r>
    </w:p>
    <w:p>
      <w:pPr>
        <w:pStyle w:val="ListBullet"/>
      </w:pPr>
      <w:r>
        <w:t>Collect both suspected-pathway and matched control samples.</w:t>
      </w:r>
    </w:p>
    <w:p>
      <w:pPr>
        <w:pStyle w:val="ListBullet"/>
      </w:pPr>
      <w:r>
        <w:t>Repeat through hydrological states; do not rely on a single dry-weather grab.</w:t>
      </w:r>
    </w:p>
    <w:p>
      <w:pPr>
        <w:pStyle w:val="ListBullet"/>
      </w:pPr>
      <w:r>
        <w:t>Where firing dates become available, pair before/after sampling with realistic hydrogeological lag windows.</w:t>
      </w:r>
    </w:p>
    <w:p>
      <w:pPr>
        <w:pStyle w:val="Heading2"/>
      </w:pPr>
      <w:r>
        <w:t>14.2 Water matrix</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D9EAF7"/>
          </w:tcPr>
          <w:p>
            <w:r/>
            <w:r>
              <w:rPr>
                <w:rFonts w:ascii="Aptos" w:hAnsi="Aptos"/>
                <w:b/>
                <w:sz w:val="16"/>
              </w:rPr>
              <w:t>Group</w:t>
            </w:r>
          </w:p>
        </w:tc>
        <w:tc>
          <w:tcPr>
            <w:tcW w:type="dxa" w:w="5083"/>
            <w:vAlign w:val="center"/>
            <w:shd w:fill="D9EAF7"/>
          </w:tcPr>
          <w:p>
            <w:r/>
            <w:r>
              <w:rPr>
                <w:rFonts w:ascii="Aptos" w:hAnsi="Aptos"/>
                <w:b/>
                <w:sz w:val="16"/>
              </w:rPr>
              <w:t>Core determinands</w:t>
            </w:r>
          </w:p>
        </w:tc>
      </w:tr>
      <w:tr>
        <w:tc>
          <w:tcPr>
            <w:tcW w:type="dxa" w:w="5083"/>
            <w:vAlign w:val="center"/>
          </w:tcPr>
          <w:p>
            <w:r/>
            <w:r>
              <w:rPr>
                <w:rFonts w:ascii="Aptos" w:hAnsi="Aptos"/>
                <w:b w:val="0"/>
                <w:sz w:val="16"/>
              </w:rPr>
              <w:t>Field</w:t>
            </w:r>
          </w:p>
        </w:tc>
        <w:tc>
          <w:tcPr>
            <w:tcW w:type="dxa" w:w="5083"/>
            <w:vAlign w:val="center"/>
          </w:tcPr>
          <w:p>
            <w:r/>
            <w:r>
              <w:rPr>
                <w:rFonts w:ascii="Aptos" w:hAnsi="Aptos"/>
                <w:b w:val="0"/>
                <w:sz w:val="16"/>
              </w:rPr>
              <w:t>pH, EC, ORP, DO, temperature, turbidity, flow/level</w:t>
            </w:r>
          </w:p>
        </w:tc>
      </w:tr>
      <w:tr>
        <w:tc>
          <w:tcPr>
            <w:tcW w:type="dxa" w:w="5083"/>
            <w:vAlign w:val="center"/>
          </w:tcPr>
          <w:p>
            <w:r/>
            <w:r>
              <w:rPr>
                <w:rFonts w:ascii="Aptos" w:hAnsi="Aptos"/>
                <w:b w:val="0"/>
                <w:sz w:val="16"/>
              </w:rPr>
              <w:t>Major ions</w:t>
            </w:r>
          </w:p>
        </w:tc>
        <w:tc>
          <w:tcPr>
            <w:tcW w:type="dxa" w:w="5083"/>
            <w:vAlign w:val="center"/>
          </w:tcPr>
          <w:p>
            <w:r/>
            <w:r>
              <w:rPr>
                <w:rFonts w:ascii="Aptos" w:hAnsi="Aptos"/>
                <w:b w:val="0"/>
                <w:sz w:val="16"/>
              </w:rPr>
              <w:t>Sulphate, chloride, nitrate, alkalinity; selected cations</w:t>
            </w:r>
          </w:p>
        </w:tc>
      </w:tr>
      <w:tr>
        <w:tc>
          <w:tcPr>
            <w:tcW w:type="dxa" w:w="5083"/>
            <w:vAlign w:val="center"/>
          </w:tcPr>
          <w:p>
            <w:r/>
            <w:r>
              <w:rPr>
                <w:rFonts w:ascii="Aptos" w:hAnsi="Aptos"/>
                <w:b w:val="0"/>
                <w:sz w:val="16"/>
              </w:rPr>
              <w:t>Mine metals/metalloids</w:t>
            </w:r>
          </w:p>
        </w:tc>
        <w:tc>
          <w:tcPr>
            <w:tcW w:type="dxa" w:w="5083"/>
            <w:vAlign w:val="center"/>
          </w:tcPr>
          <w:p>
            <w:r/>
            <w:r>
              <w:rPr>
                <w:rFonts w:ascii="Aptos" w:hAnsi="Aptos"/>
                <w:b w:val="0"/>
                <w:sz w:val="16"/>
              </w:rPr>
              <w:t>As, Fe, Mn, Cu, Zn, Pb, Cd, Ni, Cr; add Sn/Sb/Hg where site history/inventory supports</w:t>
            </w:r>
          </w:p>
        </w:tc>
      </w:tr>
      <w:tr>
        <w:tc>
          <w:tcPr>
            <w:tcW w:type="dxa" w:w="5083"/>
            <w:vAlign w:val="center"/>
          </w:tcPr>
          <w:p>
            <w:r/>
            <w:r>
              <w:rPr>
                <w:rFonts w:ascii="Aptos" w:hAnsi="Aptos"/>
                <w:b w:val="0"/>
                <w:sz w:val="16"/>
              </w:rPr>
              <w:t>Energetics</w:t>
            </w:r>
          </w:p>
        </w:tc>
        <w:tc>
          <w:tcPr>
            <w:tcW w:type="dxa" w:w="5083"/>
            <w:vAlign w:val="center"/>
          </w:tcPr>
          <w:p>
            <w:r/>
            <w:r>
              <w:rPr>
                <w:rFonts w:ascii="Aptos" w:hAnsi="Aptos"/>
                <w:b w:val="0"/>
                <w:sz w:val="16"/>
              </w:rPr>
              <w:t>Inventory-led: e.g. RDX/HMX/TNT and degradation products only where use is evidenced</w:t>
            </w:r>
          </w:p>
        </w:tc>
      </w:tr>
      <w:tr>
        <w:tc>
          <w:tcPr>
            <w:tcW w:type="dxa" w:w="5083"/>
            <w:vAlign w:val="center"/>
          </w:tcPr>
          <w:p>
            <w:r/>
            <w:r>
              <w:rPr>
                <w:rFonts w:ascii="Aptos" w:hAnsi="Aptos"/>
                <w:b w:val="0"/>
                <w:sz w:val="16"/>
              </w:rPr>
              <w:t>Other test-object contaminants</w:t>
            </w:r>
          </w:p>
        </w:tc>
        <w:tc>
          <w:tcPr>
            <w:tcW w:type="dxa" w:w="5083"/>
            <w:vAlign w:val="center"/>
          </w:tcPr>
          <w:p>
            <w:r/>
            <w:r>
              <w:rPr>
                <w:rFonts w:ascii="Aptos" w:hAnsi="Aptos"/>
                <w:b w:val="0"/>
                <w:sz w:val="16"/>
              </w:rPr>
              <w:t>Inventory-led alloy metals, hydrocarbons/lubricants, composite/coating markers</w:t>
            </w:r>
          </w:p>
        </w:tc>
      </w:tr>
    </w:tbl>
    <w:p>
      <w:pPr>
        <w:pStyle w:val="Small"/>
      </w:pPr>
    </w:p>
    <w:p>
      <w:pPr>
        <w:pStyle w:val="Heading2"/>
      </w:pPr>
      <w:r>
        <w:t>14.3 Suggested spatial sequence</w:t>
      </w:r>
    </w:p>
    <w:p>
      <w:pPr>
        <w:pStyle w:val="ListBullet"/>
      </w:pPr>
      <w:r>
        <w:t>W0: up-gradient / unaffected groundwater or spring control.</w:t>
      </w:r>
    </w:p>
    <w:p>
      <w:pPr>
        <w:pStyle w:val="ListBullet"/>
      </w:pPr>
      <w:r>
        <w:t>W1: underground seepage or drainage near a test area (lawful access only).</w:t>
      </w:r>
    </w:p>
    <w:p>
      <w:pPr>
        <w:pStyle w:val="ListBullet"/>
      </w:pPr>
      <w:r>
        <w:t>W2: flooded heading / sump if safely and lawfully sampled.</w:t>
      </w:r>
    </w:p>
    <w:p>
      <w:pPr>
        <w:pStyle w:val="ListBullet"/>
      </w:pPr>
      <w:r>
        <w:t>W3: mine/adit discharge or nearest external seepage.</w:t>
      </w:r>
    </w:p>
    <w:p>
      <w:pPr>
        <w:pStyle w:val="ListBullet"/>
      </w:pPr>
      <w:r>
        <w:t>W4: user-identified water point X3 / sulphurous-metallic point.</w:t>
      </w:r>
    </w:p>
    <w:p>
      <w:pPr>
        <w:pStyle w:val="ListBullet"/>
      </w:pPr>
      <w:r>
        <w:t>W5: upstream stream control.</w:t>
      </w:r>
    </w:p>
    <w:p>
      <w:pPr>
        <w:pStyle w:val="ListBullet"/>
      </w:pPr>
      <w:r>
        <w:t>W6: stream at nearest suspected mine-water influence.</w:t>
      </w:r>
    </w:p>
    <w:p>
      <w:pPr>
        <w:pStyle w:val="ListBullet"/>
      </w:pPr>
      <w:r>
        <w:t>W7: downstream stream and sediment.</w:t>
      </w:r>
    </w:p>
    <w:p>
      <w:pPr>
        <w:pStyle w:val="ListBullet"/>
      </w:pPr>
      <w:r>
        <w:t>W8: tree-fall / root-zone water and soil at the reported coordinate cluster.</w:t>
      </w:r>
    </w:p>
    <w:p>
      <w:pPr>
        <w:pStyle w:val="Heading2"/>
      </w:pPr>
      <w:r>
        <w:t>14.4 Temporal design</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D9EAF7"/>
          </w:tcPr>
          <w:p>
            <w:r/>
            <w:r>
              <w:rPr>
                <w:rFonts w:ascii="Aptos" w:hAnsi="Aptos"/>
                <w:b/>
                <w:sz w:val="16"/>
              </w:rPr>
              <w:t>Window</w:t>
            </w:r>
          </w:p>
        </w:tc>
        <w:tc>
          <w:tcPr>
            <w:tcW w:type="dxa" w:w="5083"/>
            <w:vAlign w:val="center"/>
            <w:shd w:fill="D9EAF7"/>
          </w:tcPr>
          <w:p>
            <w:r/>
            <w:r>
              <w:rPr>
                <w:rFonts w:ascii="Aptos" w:hAnsi="Aptos"/>
                <w:b/>
                <w:sz w:val="16"/>
              </w:rPr>
              <w:t>Purpose</w:t>
            </w:r>
          </w:p>
        </w:tc>
      </w:tr>
      <w:tr>
        <w:tc>
          <w:tcPr>
            <w:tcW w:type="dxa" w:w="5083"/>
            <w:vAlign w:val="center"/>
          </w:tcPr>
          <w:p>
            <w:r/>
            <w:r>
              <w:rPr>
                <w:rFonts w:ascii="Aptos" w:hAnsi="Aptos"/>
                <w:b w:val="0"/>
                <w:sz w:val="16"/>
              </w:rPr>
              <w:t>Baseline dry/normal flow</w:t>
            </w:r>
          </w:p>
        </w:tc>
        <w:tc>
          <w:tcPr>
            <w:tcW w:type="dxa" w:w="5083"/>
            <w:vAlign w:val="center"/>
          </w:tcPr>
          <w:p>
            <w:r/>
            <w:r>
              <w:rPr>
                <w:rFonts w:ascii="Aptos" w:hAnsi="Aptos"/>
                <w:b w:val="0"/>
                <w:sz w:val="16"/>
              </w:rPr>
              <w:t>Establish background</w:t>
            </w:r>
          </w:p>
        </w:tc>
      </w:tr>
      <w:tr>
        <w:tc>
          <w:tcPr>
            <w:tcW w:type="dxa" w:w="5083"/>
            <w:vAlign w:val="center"/>
          </w:tcPr>
          <w:p>
            <w:r/>
            <w:r>
              <w:rPr>
                <w:rFonts w:ascii="Aptos" w:hAnsi="Aptos"/>
                <w:b w:val="0"/>
                <w:sz w:val="16"/>
              </w:rPr>
              <w:t>First flush after substantial rainfall</w:t>
            </w:r>
          </w:p>
        </w:tc>
        <w:tc>
          <w:tcPr>
            <w:tcW w:type="dxa" w:w="5083"/>
            <w:vAlign w:val="center"/>
          </w:tcPr>
          <w:p>
            <w:r/>
            <w:r>
              <w:rPr>
                <w:rFonts w:ascii="Aptos" w:hAnsi="Aptos"/>
                <w:b w:val="0"/>
                <w:sz w:val="16"/>
              </w:rPr>
              <w:t>Capture mobilisation from surfaces / workings</w:t>
            </w:r>
          </w:p>
        </w:tc>
      </w:tr>
      <w:tr>
        <w:tc>
          <w:tcPr>
            <w:tcW w:type="dxa" w:w="5083"/>
            <w:vAlign w:val="center"/>
          </w:tcPr>
          <w:p>
            <w:r/>
            <w:r>
              <w:rPr>
                <w:rFonts w:ascii="Aptos" w:hAnsi="Aptos"/>
                <w:b w:val="0"/>
                <w:sz w:val="16"/>
              </w:rPr>
              <w:t>High flow</w:t>
            </w:r>
          </w:p>
        </w:tc>
        <w:tc>
          <w:tcPr>
            <w:tcW w:type="dxa" w:w="5083"/>
            <w:vAlign w:val="center"/>
          </w:tcPr>
          <w:p>
            <w:r/>
            <w:r>
              <w:rPr>
                <w:rFonts w:ascii="Aptos" w:hAnsi="Aptos"/>
                <w:b w:val="0"/>
                <w:sz w:val="16"/>
              </w:rPr>
              <w:t>Assess dilution plus particulate transport</w:t>
            </w:r>
          </w:p>
        </w:tc>
      </w:tr>
      <w:tr>
        <w:tc>
          <w:tcPr>
            <w:tcW w:type="dxa" w:w="5083"/>
            <w:vAlign w:val="center"/>
          </w:tcPr>
          <w:p>
            <w:r/>
            <w:r>
              <w:rPr>
                <w:rFonts w:ascii="Aptos" w:hAnsi="Aptos"/>
                <w:b w:val="0"/>
                <w:sz w:val="16"/>
              </w:rPr>
              <w:t>Low flow</w:t>
            </w:r>
          </w:p>
        </w:tc>
        <w:tc>
          <w:tcPr>
            <w:tcW w:type="dxa" w:w="5083"/>
            <w:vAlign w:val="center"/>
          </w:tcPr>
          <w:p>
            <w:r/>
            <w:r>
              <w:rPr>
                <w:rFonts w:ascii="Aptos" w:hAnsi="Aptos"/>
                <w:b w:val="0"/>
                <w:sz w:val="16"/>
              </w:rPr>
              <w:t>Increase sensitivity to groundwater / mine-water contribution</w:t>
            </w:r>
          </w:p>
        </w:tc>
      </w:tr>
      <w:tr>
        <w:tc>
          <w:tcPr>
            <w:tcW w:type="dxa" w:w="5083"/>
            <w:vAlign w:val="center"/>
          </w:tcPr>
          <w:p>
            <w:r/>
            <w:r>
              <w:rPr>
                <w:rFonts w:ascii="Aptos" w:hAnsi="Aptos"/>
                <w:b w:val="0"/>
                <w:sz w:val="16"/>
              </w:rPr>
              <w:t>Pre-test / post-test when logs available</w:t>
            </w:r>
          </w:p>
        </w:tc>
        <w:tc>
          <w:tcPr>
            <w:tcW w:type="dxa" w:w="5083"/>
            <w:vAlign w:val="center"/>
          </w:tcPr>
          <w:p>
            <w:r/>
            <w:r>
              <w:rPr>
                <w:rFonts w:ascii="Aptos" w:hAnsi="Aptos"/>
                <w:b w:val="0"/>
                <w:sz w:val="16"/>
              </w:rPr>
              <w:t>Test temporal association with event windows</w:t>
            </w:r>
          </w:p>
        </w:tc>
      </w:tr>
      <w:tr>
        <w:tc>
          <w:tcPr>
            <w:tcW w:type="dxa" w:w="5083"/>
            <w:vAlign w:val="center"/>
          </w:tcPr>
          <w:p>
            <w:r/>
            <w:r>
              <w:rPr>
                <w:rFonts w:ascii="Aptos" w:hAnsi="Aptos"/>
                <w:b w:val="0"/>
                <w:sz w:val="16"/>
              </w:rPr>
              <w:t>Seasonal repeat</w:t>
            </w:r>
          </w:p>
        </w:tc>
        <w:tc>
          <w:tcPr>
            <w:tcW w:type="dxa" w:w="5083"/>
            <w:vAlign w:val="center"/>
          </w:tcPr>
          <w:p>
            <w:r/>
            <w:r>
              <w:rPr>
                <w:rFonts w:ascii="Aptos" w:hAnsi="Aptos"/>
                <w:b w:val="0"/>
                <w:sz w:val="16"/>
              </w:rPr>
              <w:t>Separate persistent from transient signal</w:t>
            </w:r>
          </w:p>
        </w:tc>
      </w:tr>
    </w:tbl>
    <w:p>
      <w:pPr>
        <w:pStyle w:val="Small"/>
      </w:pPr>
    </w:p>
    <w:p>
      <w:pPr>
        <w:pStyle w:val="Heading1"/>
      </w:pPr>
      <w:r>
        <w:t>15. Evidence Preservation and Disclosure Schedule</w:t>
      </w:r>
    </w:p>
    <w:p>
      <w:pPr/>
      <w:r>
        <w:t>The most valuable next step is documentary reconstruction. If the records exist, they can transform a circumstantial environmental picture into a testable chronology.</w:t>
      </w:r>
    </w:p>
    <w:tbl>
      <w:tblPr>
        <w:tblStyle w:val="TableGrid"/>
        <w:tblW w:type="auto" w:w="0"/>
        <w:jc w:val="center"/>
        <w:tblLook w:firstColumn="1" w:firstRow="1" w:lastColumn="0" w:lastRow="0" w:noHBand="0" w:noVBand="1" w:val="04A0"/>
      </w:tblPr>
      <w:tblGrid>
        <w:gridCol w:w="3389"/>
        <w:gridCol w:w="3389"/>
        <w:gridCol w:w="3389"/>
      </w:tblGrid>
      <w:tr>
        <w:tc>
          <w:tcPr>
            <w:tcW w:type="dxa" w:w="3389"/>
            <w:vAlign w:val="center"/>
            <w:shd w:fill="D9EAF7"/>
          </w:tcPr>
          <w:p>
            <w:r/>
            <w:r>
              <w:rPr>
                <w:rFonts w:ascii="Aptos" w:hAnsi="Aptos"/>
                <w:b/>
                <w:sz w:val="15"/>
              </w:rPr>
              <w:t>Record set</w:t>
            </w:r>
          </w:p>
        </w:tc>
        <w:tc>
          <w:tcPr>
            <w:tcW w:type="dxa" w:w="3389"/>
            <w:vAlign w:val="center"/>
            <w:shd w:fill="D9EAF7"/>
          </w:tcPr>
          <w:p>
            <w:r/>
            <w:r>
              <w:rPr>
                <w:rFonts w:ascii="Aptos" w:hAnsi="Aptos"/>
                <w:b/>
                <w:sz w:val="15"/>
              </w:rPr>
              <w:t>Minimum fields / scope</w:t>
            </w:r>
          </w:p>
        </w:tc>
        <w:tc>
          <w:tcPr>
            <w:tcW w:type="dxa" w:w="3389"/>
            <w:vAlign w:val="center"/>
            <w:shd w:fill="D9EAF7"/>
          </w:tcPr>
          <w:p>
            <w:r/>
            <w:r>
              <w:rPr>
                <w:rFonts w:ascii="Aptos" w:hAnsi="Aptos"/>
                <w:b/>
                <w:sz w:val="15"/>
              </w:rPr>
              <w:t>Why it matters</w:t>
            </w:r>
          </w:p>
        </w:tc>
      </w:tr>
      <w:tr>
        <w:tc>
          <w:tcPr>
            <w:tcW w:type="dxa" w:w="3389"/>
            <w:vAlign w:val="center"/>
          </w:tcPr>
          <w:p>
            <w:r/>
            <w:r>
              <w:rPr>
                <w:rFonts w:ascii="Aptos" w:hAnsi="Aptos"/>
                <w:b w:val="0"/>
                <w:sz w:val="15"/>
              </w:rPr>
              <w:t>Firing/test ledger</w:t>
            </w:r>
          </w:p>
        </w:tc>
        <w:tc>
          <w:tcPr>
            <w:tcW w:type="dxa" w:w="3389"/>
            <w:vAlign w:val="center"/>
          </w:tcPr>
          <w:p>
            <w:r/>
            <w:r>
              <w:rPr>
                <w:rFonts w:ascii="Aptos" w:hAnsi="Aptos"/>
                <w:b w:val="0"/>
                <w:sz w:val="15"/>
              </w:rPr>
              <w:t>Date, time, chamber, test type, charge, NEQ, shots</w:t>
            </w:r>
          </w:p>
        </w:tc>
        <w:tc>
          <w:tcPr>
            <w:tcW w:type="dxa" w:w="3389"/>
            <w:vAlign w:val="center"/>
          </w:tcPr>
          <w:p>
            <w:r/>
            <w:r>
              <w:rPr>
                <w:rFonts w:ascii="Aptos" w:hAnsi="Aptos"/>
                <w:b w:val="0"/>
                <w:sz w:val="15"/>
              </w:rPr>
              <w:t>Defines cumulative source term</w:t>
            </w:r>
          </w:p>
        </w:tc>
      </w:tr>
      <w:tr>
        <w:tc>
          <w:tcPr>
            <w:tcW w:type="dxa" w:w="3389"/>
            <w:vAlign w:val="center"/>
          </w:tcPr>
          <w:p>
            <w:r/>
            <w:r>
              <w:rPr>
                <w:rFonts w:ascii="Aptos" w:hAnsi="Aptos"/>
                <w:b w:val="0"/>
                <w:sz w:val="15"/>
              </w:rPr>
              <w:t>Misfire/low-order log</w:t>
            </w:r>
          </w:p>
        </w:tc>
        <w:tc>
          <w:tcPr>
            <w:tcW w:type="dxa" w:w="3389"/>
            <w:vAlign w:val="center"/>
          </w:tcPr>
          <w:p>
            <w:r/>
            <w:r>
              <w:rPr>
                <w:rFonts w:ascii="Aptos" w:hAnsi="Aptos"/>
                <w:b w:val="0"/>
                <w:sz w:val="15"/>
              </w:rPr>
              <w:t>Date, location, recovery/disposal</w:t>
            </w:r>
          </w:p>
        </w:tc>
        <w:tc>
          <w:tcPr>
            <w:tcW w:type="dxa" w:w="3389"/>
            <w:vAlign w:val="center"/>
          </w:tcPr>
          <w:p>
            <w:r/>
            <w:r>
              <w:rPr>
                <w:rFonts w:ascii="Aptos" w:hAnsi="Aptos"/>
                <w:b w:val="0"/>
                <w:sz w:val="15"/>
              </w:rPr>
              <w:t>Residue and safety significance</w:t>
            </w:r>
          </w:p>
        </w:tc>
      </w:tr>
      <w:tr>
        <w:tc>
          <w:tcPr>
            <w:tcW w:type="dxa" w:w="3389"/>
            <w:vAlign w:val="center"/>
          </w:tcPr>
          <w:p>
            <w:r/>
            <w:r>
              <w:rPr>
                <w:rFonts w:ascii="Aptos" w:hAnsi="Aptos"/>
                <w:b w:val="0"/>
                <w:sz w:val="15"/>
              </w:rPr>
              <w:t>Ventilation records</w:t>
            </w:r>
          </w:p>
        </w:tc>
        <w:tc>
          <w:tcPr>
            <w:tcW w:type="dxa" w:w="3389"/>
            <w:vAlign w:val="center"/>
          </w:tcPr>
          <w:p>
            <w:r/>
            <w:r>
              <w:rPr>
                <w:rFonts w:ascii="Aptos" w:hAnsi="Aptos"/>
                <w:b w:val="0"/>
                <w:sz w:val="15"/>
              </w:rPr>
              <w:t>Airflow, fan status, run time, clearances</w:t>
            </w:r>
          </w:p>
        </w:tc>
        <w:tc>
          <w:tcPr>
            <w:tcW w:type="dxa" w:w="3389"/>
            <w:vAlign w:val="center"/>
          </w:tcPr>
          <w:p>
            <w:r/>
            <w:r>
              <w:rPr>
                <w:rFonts w:ascii="Aptos" w:hAnsi="Aptos"/>
                <w:b w:val="0"/>
                <w:sz w:val="15"/>
              </w:rPr>
              <w:t>Post-blast atmosphere / external exhaust</w:t>
            </w:r>
          </w:p>
        </w:tc>
      </w:tr>
      <w:tr>
        <w:tc>
          <w:tcPr>
            <w:tcW w:type="dxa" w:w="3389"/>
            <w:vAlign w:val="center"/>
          </w:tcPr>
          <w:p>
            <w:r/>
            <w:r>
              <w:rPr>
                <w:rFonts w:ascii="Aptos" w:hAnsi="Aptos"/>
                <w:b w:val="0"/>
                <w:sz w:val="15"/>
              </w:rPr>
              <w:t>Atmospheric monitoring</w:t>
            </w:r>
          </w:p>
        </w:tc>
        <w:tc>
          <w:tcPr>
            <w:tcW w:type="dxa" w:w="3389"/>
            <w:vAlign w:val="center"/>
          </w:tcPr>
          <w:p>
            <w:r/>
            <w:r>
              <w:rPr>
                <w:rFonts w:ascii="Aptos" w:hAnsi="Aptos"/>
                <w:b w:val="0"/>
                <w:sz w:val="15"/>
              </w:rPr>
              <w:t>O2, CO, NOx, particulates and criteria used</w:t>
            </w:r>
          </w:p>
        </w:tc>
        <w:tc>
          <w:tcPr>
            <w:tcW w:type="dxa" w:w="3389"/>
            <w:vAlign w:val="center"/>
          </w:tcPr>
          <w:p>
            <w:r/>
            <w:r>
              <w:rPr>
                <w:rFonts w:ascii="Aptos" w:hAnsi="Aptos"/>
                <w:b w:val="0"/>
                <w:sz w:val="15"/>
              </w:rPr>
              <w:t>Public/worker re-entry evidence</w:t>
            </w:r>
          </w:p>
        </w:tc>
      </w:tr>
      <w:tr>
        <w:tc>
          <w:tcPr>
            <w:tcW w:type="dxa" w:w="3389"/>
            <w:vAlign w:val="center"/>
          </w:tcPr>
          <w:p>
            <w:r/>
            <w:r>
              <w:rPr>
                <w:rFonts w:ascii="Aptos" w:hAnsi="Aptos"/>
                <w:b w:val="0"/>
                <w:sz w:val="15"/>
              </w:rPr>
              <w:t>Airsoft calendar</w:t>
            </w:r>
          </w:p>
        </w:tc>
        <w:tc>
          <w:tcPr>
            <w:tcW w:type="dxa" w:w="3389"/>
            <w:vAlign w:val="center"/>
          </w:tcPr>
          <w:p>
            <w:r/>
            <w:r>
              <w:rPr>
                <w:rFonts w:ascii="Aptos" w:hAnsi="Aptos"/>
                <w:b w:val="0"/>
                <w:sz w:val="15"/>
              </w:rPr>
              <w:t>Dates, player numbers, age groups, routes</w:t>
            </w:r>
          </w:p>
        </w:tc>
        <w:tc>
          <w:tcPr>
            <w:tcW w:type="dxa" w:w="3389"/>
            <w:vAlign w:val="center"/>
          </w:tcPr>
          <w:p>
            <w:r/>
            <w:r>
              <w:rPr>
                <w:rFonts w:ascii="Aptos" w:hAnsi="Aptos"/>
                <w:b w:val="0"/>
                <w:sz w:val="15"/>
              </w:rPr>
              <w:t>Temporal overlap and receptor population</w:t>
            </w:r>
          </w:p>
        </w:tc>
      </w:tr>
      <w:tr>
        <w:tc>
          <w:tcPr>
            <w:tcW w:type="dxa" w:w="3389"/>
            <w:vAlign w:val="center"/>
          </w:tcPr>
          <w:p>
            <w:r/>
            <w:r>
              <w:rPr>
                <w:rFonts w:ascii="Aptos" w:hAnsi="Aptos"/>
                <w:b w:val="0"/>
                <w:sz w:val="15"/>
              </w:rPr>
              <w:t>HSE licence pack</w:t>
            </w:r>
          </w:p>
        </w:tc>
        <w:tc>
          <w:tcPr>
            <w:tcW w:type="dxa" w:w="3389"/>
            <w:vAlign w:val="center"/>
          </w:tcPr>
          <w:p>
            <w:r/>
            <w:r>
              <w:rPr>
                <w:rFonts w:ascii="Aptos" w:hAnsi="Aptos"/>
                <w:b w:val="0"/>
                <w:sz w:val="15"/>
              </w:rPr>
              <w:t>Plan A, Plan B, Building/Explosives Schedules, variations</w:t>
            </w:r>
          </w:p>
        </w:tc>
        <w:tc>
          <w:tcPr>
            <w:tcW w:type="dxa" w:w="3389"/>
            <w:vAlign w:val="center"/>
          </w:tcPr>
          <w:p>
            <w:r/>
            <w:r>
              <w:rPr>
                <w:rFonts w:ascii="Aptos" w:hAnsi="Aptos"/>
                <w:b w:val="0"/>
                <w:sz w:val="15"/>
              </w:rPr>
              <w:t>Spatial/legal interface</w:t>
            </w:r>
          </w:p>
        </w:tc>
      </w:tr>
      <w:tr>
        <w:tc>
          <w:tcPr>
            <w:tcW w:type="dxa" w:w="3389"/>
            <w:vAlign w:val="center"/>
          </w:tcPr>
          <w:p>
            <w:r/>
            <w:r>
              <w:rPr>
                <w:rFonts w:ascii="Aptos" w:hAnsi="Aptos"/>
                <w:b w:val="0"/>
                <w:sz w:val="15"/>
              </w:rPr>
              <w:t>Environmental records</w:t>
            </w:r>
          </w:p>
        </w:tc>
        <w:tc>
          <w:tcPr>
            <w:tcW w:type="dxa" w:w="3389"/>
            <w:vAlign w:val="center"/>
          </w:tcPr>
          <w:p>
            <w:r/>
            <w:r>
              <w:rPr>
                <w:rFonts w:ascii="Aptos" w:hAnsi="Aptos"/>
                <w:b w:val="0"/>
                <w:sz w:val="15"/>
              </w:rPr>
              <w:t>Water/soil/air tests, incidents, permits, complaints</w:t>
            </w:r>
          </w:p>
        </w:tc>
        <w:tc>
          <w:tcPr>
            <w:tcW w:type="dxa" w:w="3389"/>
            <w:vAlign w:val="center"/>
          </w:tcPr>
          <w:p>
            <w:r/>
            <w:r>
              <w:rPr>
                <w:rFonts w:ascii="Aptos" w:hAnsi="Aptos"/>
                <w:b w:val="0"/>
                <w:sz w:val="15"/>
              </w:rPr>
              <w:t>Baseline and compliance history</w:t>
            </w:r>
          </w:p>
        </w:tc>
      </w:tr>
      <w:tr>
        <w:tc>
          <w:tcPr>
            <w:tcW w:type="dxa" w:w="3389"/>
            <w:vAlign w:val="center"/>
          </w:tcPr>
          <w:p>
            <w:r/>
            <w:r>
              <w:rPr>
                <w:rFonts w:ascii="Aptos" w:hAnsi="Aptos"/>
                <w:b w:val="0"/>
                <w:sz w:val="15"/>
              </w:rPr>
              <w:t>Mine plans / surveys</w:t>
            </w:r>
          </w:p>
        </w:tc>
        <w:tc>
          <w:tcPr>
            <w:tcW w:type="dxa" w:w="3389"/>
            <w:vAlign w:val="center"/>
          </w:tcPr>
          <w:p>
            <w:r/>
            <w:r>
              <w:rPr>
                <w:rFonts w:ascii="Aptos" w:hAnsi="Aptos"/>
                <w:b w:val="0"/>
                <w:sz w:val="15"/>
              </w:rPr>
              <w:t>Tunnels, shafts, headings, drainage, flooded zones</w:t>
            </w:r>
          </w:p>
        </w:tc>
        <w:tc>
          <w:tcPr>
            <w:tcW w:type="dxa" w:w="3389"/>
            <w:vAlign w:val="center"/>
          </w:tcPr>
          <w:p>
            <w:r/>
            <w:r>
              <w:rPr>
                <w:rFonts w:ascii="Aptos" w:hAnsi="Aptos"/>
                <w:b w:val="0"/>
                <w:sz w:val="15"/>
              </w:rPr>
              <w:t>Hydrogeology and stability</w:t>
            </w:r>
          </w:p>
        </w:tc>
      </w:tr>
      <w:tr>
        <w:tc>
          <w:tcPr>
            <w:tcW w:type="dxa" w:w="3389"/>
            <w:vAlign w:val="center"/>
          </w:tcPr>
          <w:p>
            <w:r/>
            <w:r>
              <w:rPr>
                <w:rFonts w:ascii="Aptos" w:hAnsi="Aptos"/>
                <w:b w:val="0"/>
                <w:sz w:val="15"/>
              </w:rPr>
              <w:t>Contracts/test instructions</w:t>
            </w:r>
          </w:p>
        </w:tc>
        <w:tc>
          <w:tcPr>
            <w:tcW w:type="dxa" w:w="3389"/>
            <w:vAlign w:val="center"/>
          </w:tcPr>
          <w:p>
            <w:r/>
            <w:r>
              <w:rPr>
                <w:rFonts w:ascii="Aptos" w:hAnsi="Aptos"/>
                <w:b w:val="0"/>
                <w:sz w:val="15"/>
              </w:rPr>
              <w:t>Customer, material/test-object, site used</w:t>
            </w:r>
          </w:p>
        </w:tc>
        <w:tc>
          <w:tcPr>
            <w:tcW w:type="dxa" w:w="3389"/>
            <w:vAlign w:val="center"/>
          </w:tcPr>
          <w:p>
            <w:r/>
            <w:r>
              <w:rPr>
                <w:rFonts w:ascii="Aptos" w:hAnsi="Aptos"/>
                <w:b w:val="0"/>
                <w:sz w:val="15"/>
              </w:rPr>
              <w:t>Identifies energetic / material inventory</w:t>
            </w:r>
          </w:p>
        </w:tc>
      </w:tr>
      <w:tr>
        <w:tc>
          <w:tcPr>
            <w:tcW w:type="dxa" w:w="3389"/>
            <w:vAlign w:val="center"/>
          </w:tcPr>
          <w:p>
            <w:r/>
            <w:r>
              <w:rPr>
                <w:rFonts w:ascii="Aptos" w:hAnsi="Aptos"/>
                <w:b w:val="0"/>
                <w:sz w:val="15"/>
              </w:rPr>
              <w:t>Waste/debris records</w:t>
            </w:r>
          </w:p>
        </w:tc>
        <w:tc>
          <w:tcPr>
            <w:tcW w:type="dxa" w:w="3389"/>
            <w:vAlign w:val="center"/>
          </w:tcPr>
          <w:p>
            <w:r/>
            <w:r>
              <w:rPr>
                <w:rFonts w:ascii="Aptos" w:hAnsi="Aptos"/>
                <w:b w:val="0"/>
                <w:sz w:val="15"/>
              </w:rPr>
              <w:t>Recovered fragments, washdown, contaminated waste</w:t>
            </w:r>
          </w:p>
        </w:tc>
        <w:tc>
          <w:tcPr>
            <w:tcW w:type="dxa" w:w="3389"/>
            <w:vAlign w:val="center"/>
          </w:tcPr>
          <w:p>
            <w:r/>
            <w:r>
              <w:rPr>
                <w:rFonts w:ascii="Aptos" w:hAnsi="Aptos"/>
                <w:b w:val="0"/>
                <w:sz w:val="15"/>
              </w:rPr>
              <w:t>Mass balance and pathway control</w:t>
            </w:r>
          </w:p>
        </w:tc>
      </w:tr>
    </w:tbl>
    <w:p>
      <w:pPr>
        <w:pStyle w:val="Small"/>
      </w:pPr>
    </w:p>
    <w:p>
      <w:pPr>
        <w:pStyle w:val="Heading1"/>
      </w:pPr>
      <w:r>
        <w:t>16. Questions to Put to Authorities and Operators</w:t>
      </w:r>
    </w:p>
    <w:p>
      <w:pPr>
        <w:pStyle w:val="Heading2"/>
      </w:pPr>
      <w:r>
        <w:t>16.1 Health and Safety Executive</w:t>
      </w:r>
    </w:p>
    <w:p>
      <w:pPr>
        <w:pStyle w:val="ListNumber"/>
      </w:pPr>
      <w:r>
        <w:t>Provide / confirm the current Holmans explosives-site licence, Plan A, Plan B, Building Schedule and Explosives Schedule, including variations since 2017.</w:t>
      </w:r>
    </w:p>
    <w:p>
      <w:pPr>
        <w:pStyle w:val="ListNumber"/>
      </w:pPr>
      <w:r>
        <w:t>Confirm the parts of the mine in which manufacture, storage, testing, disposal or other explosive activities are licensed.</w:t>
      </w:r>
    </w:p>
    <w:p>
      <w:pPr>
        <w:pStyle w:val="ListNumber"/>
      </w:pPr>
      <w:r>
        <w:t>Confirm whether HSE has been informed of or assessed commercial recreational access to the mine and any site-sharing/subletting arrangement.</w:t>
      </w:r>
    </w:p>
    <w:p>
      <w:pPr>
        <w:pStyle w:val="ListNumber"/>
      </w:pPr>
      <w:r>
        <w:t>Identify separation, control-of-access and post-test re-entry requirements applicable to areas later used by the public.</w:t>
      </w:r>
    </w:p>
    <w:p>
      <w:pPr>
        <w:pStyle w:val="ListNumber"/>
      </w:pPr>
      <w:r>
        <w:t>Confirm any inspections, notices, reportable incidents or material changes relevant to ventilation, mine access or explosive operations, subject to lawful disclosure limits.</w:t>
      </w:r>
    </w:p>
    <w:p>
      <w:pPr>
        <w:pStyle w:val="Heading2"/>
      </w:pPr>
      <w:r>
        <w:t>16.2 Environment Agency</w:t>
      </w:r>
    </w:p>
    <w:p>
      <w:pPr>
        <w:pStyle w:val="ListNumber"/>
      </w:pPr>
      <w:r>
        <w:t>Confirm known groundwater bodies, mine-water discharges and water-quality monitoring points around Holmans/Troon.</w:t>
      </w:r>
    </w:p>
    <w:p>
      <w:pPr>
        <w:pStyle w:val="ListNumber"/>
      </w:pPr>
      <w:r>
        <w:t>Confirm any environmental permits, groundwater activities, discharge consents/exemptions or pollution reports associated with the site.</w:t>
      </w:r>
    </w:p>
    <w:p>
      <w:pPr>
        <w:pStyle w:val="ListNumber"/>
      </w:pPr>
      <w:r>
        <w:t>Assess whether reported sulphurous/metallic water, stream changes and mine connectivity justify regulatory sampling.</w:t>
      </w:r>
    </w:p>
    <w:p>
      <w:pPr>
        <w:pStyle w:val="ListNumber"/>
      </w:pPr>
      <w:r>
        <w:t>Advise an inventory-led energetic-residue analytical suite if explosive compositions are confirmed.</w:t>
      </w:r>
    </w:p>
    <w:p>
      <w:pPr>
        <w:pStyle w:val="ListNumber"/>
      </w:pPr>
      <w:r>
        <w:t>Consider joint work with the Mining Remediation Authority where abandoned mine workings may contribute to the pathway.</w:t>
      </w:r>
    </w:p>
    <w:p>
      <w:pPr>
        <w:pStyle w:val="Heading2"/>
      </w:pPr>
      <w:r>
        <w:t>16.3 Cornwall Council</w:t>
      </w:r>
    </w:p>
    <w:p>
      <w:pPr>
        <w:pStyle w:val="ListNumber"/>
      </w:pPr>
      <w:r>
        <w:t>Planning history and conditions governing test, industrial, recreational and public-access uses.</w:t>
      </w:r>
    </w:p>
    <w:p>
      <w:pPr>
        <w:pStyle w:val="ListNumber"/>
      </w:pPr>
      <w:r>
        <w:t>Environmental Health records, nuisance/air/noise complaints and any contaminated-land screening.</w:t>
      </w:r>
    </w:p>
    <w:p>
      <w:pPr>
        <w:pStyle w:val="ListNumber"/>
      </w:pPr>
      <w:r>
        <w:t>Public rights of way / access interfaces and emergency planning where relevant.</w:t>
      </w:r>
    </w:p>
    <w:p>
      <w:pPr>
        <w:pStyle w:val="ListNumber"/>
      </w:pPr>
      <w:r>
        <w:t>Building / land-use records for structures, shafts, quarries and changes to use.</w:t>
      </w:r>
    </w:p>
    <w:p>
      <w:pPr>
        <w:pStyle w:val="Heading1"/>
      </w:pPr>
      <w:r>
        <w:t>17. Master Chronology to Build</w:t>
      </w:r>
    </w:p>
    <w:tbl>
      <w:tblPr>
        <w:tblStyle w:val="TableGrid"/>
        <w:tblW w:type="auto" w:w="0"/>
        <w:jc w:val="center"/>
        <w:tblLook w:firstColumn="1" w:firstRow="1" w:lastColumn="0" w:lastRow="0" w:noHBand="0" w:noVBand="1" w:val="04A0"/>
      </w:tblPr>
      <w:tblGrid>
        <w:gridCol w:w="2541"/>
        <w:gridCol w:w="2541"/>
        <w:gridCol w:w="2541"/>
        <w:gridCol w:w="2541"/>
      </w:tblGrid>
      <w:tr>
        <w:tc>
          <w:tcPr>
            <w:tcW w:type="dxa" w:w="2541"/>
            <w:vAlign w:val="center"/>
            <w:shd w:fill="D9EAF7"/>
          </w:tcPr>
          <w:p>
            <w:r/>
            <w:r>
              <w:rPr>
                <w:rFonts w:ascii="Aptos" w:hAnsi="Aptos"/>
                <w:b/>
                <w:sz w:val="14"/>
              </w:rPr>
              <w:t>Period / date</w:t>
            </w:r>
          </w:p>
        </w:tc>
        <w:tc>
          <w:tcPr>
            <w:tcW w:type="dxa" w:w="2541"/>
            <w:vAlign w:val="center"/>
            <w:shd w:fill="D9EAF7"/>
          </w:tcPr>
          <w:p>
            <w:r/>
            <w:r>
              <w:rPr>
                <w:rFonts w:ascii="Aptos" w:hAnsi="Aptos"/>
                <w:b/>
                <w:sz w:val="14"/>
              </w:rPr>
              <w:t>Known / lead</w:t>
            </w:r>
          </w:p>
        </w:tc>
        <w:tc>
          <w:tcPr>
            <w:tcW w:type="dxa" w:w="2541"/>
            <w:vAlign w:val="center"/>
            <w:shd w:fill="D9EAF7"/>
          </w:tcPr>
          <w:p>
            <w:r/>
            <w:r>
              <w:rPr>
                <w:rFonts w:ascii="Aptos" w:hAnsi="Aptos"/>
                <w:b/>
                <w:sz w:val="14"/>
              </w:rPr>
              <w:t>Evidence status</w:t>
            </w:r>
          </w:p>
        </w:tc>
        <w:tc>
          <w:tcPr>
            <w:tcW w:type="dxa" w:w="2541"/>
            <w:vAlign w:val="center"/>
            <w:shd w:fill="D9EAF7"/>
          </w:tcPr>
          <w:p>
            <w:r/>
            <w:r>
              <w:rPr>
                <w:rFonts w:ascii="Aptos" w:hAnsi="Aptos"/>
                <w:b/>
                <w:sz w:val="14"/>
              </w:rPr>
              <w:t>Action</w:t>
            </w:r>
          </w:p>
        </w:tc>
      </w:tr>
      <w:tr>
        <w:tc>
          <w:tcPr>
            <w:tcW w:type="dxa" w:w="2541"/>
            <w:vAlign w:val="center"/>
          </w:tcPr>
          <w:p>
            <w:r/>
            <w:r>
              <w:rPr>
                <w:rFonts w:ascii="Aptos" w:hAnsi="Aptos"/>
                <w:b w:val="0"/>
                <w:sz w:val="14"/>
              </w:rPr>
              <w:t>Pre-2017</w:t>
            </w:r>
          </w:p>
        </w:tc>
        <w:tc>
          <w:tcPr>
            <w:tcW w:type="dxa" w:w="2541"/>
            <w:vAlign w:val="center"/>
          </w:tcPr>
          <w:p>
            <w:r/>
            <w:r>
              <w:rPr>
                <w:rFonts w:ascii="Aptos" w:hAnsi="Aptos"/>
                <w:b w:val="0"/>
                <w:sz w:val="14"/>
              </w:rPr>
              <w:t>Camborne School of Mines use included mining/explosives training; 2013 misfire research at Holmans</w:t>
            </w:r>
          </w:p>
        </w:tc>
        <w:tc>
          <w:tcPr>
            <w:tcW w:type="dxa" w:w="2541"/>
            <w:vAlign w:val="center"/>
          </w:tcPr>
          <w:p>
            <w:r/>
            <w:r>
              <w:rPr>
                <w:rFonts w:ascii="Aptos" w:hAnsi="Aptos"/>
                <w:b w:val="0"/>
                <w:sz w:val="14"/>
              </w:rPr>
              <w:t>Historical academic</w:t>
            </w:r>
          </w:p>
        </w:tc>
        <w:tc>
          <w:tcPr>
            <w:tcW w:type="dxa" w:w="2541"/>
            <w:vAlign w:val="center"/>
          </w:tcPr>
          <w:p>
            <w:r/>
            <w:r>
              <w:rPr>
                <w:rFonts w:ascii="Aptos" w:hAnsi="Aptos"/>
                <w:b w:val="0"/>
                <w:sz w:val="14"/>
              </w:rPr>
              <w:t>Retrieve institutional blasting / mine-water / survey records</w:t>
            </w:r>
          </w:p>
        </w:tc>
      </w:tr>
      <w:tr>
        <w:tc>
          <w:tcPr>
            <w:tcW w:type="dxa" w:w="2541"/>
            <w:vAlign w:val="center"/>
          </w:tcPr>
          <w:p>
            <w:r/>
            <w:r>
              <w:rPr>
                <w:rFonts w:ascii="Aptos" w:hAnsi="Aptos"/>
                <w:b w:val="0"/>
                <w:sz w:val="14"/>
              </w:rPr>
              <w:t>2016 onward</w:t>
            </w:r>
          </w:p>
        </w:tc>
        <w:tc>
          <w:tcPr>
            <w:tcW w:type="dxa" w:w="2541"/>
            <w:vAlign w:val="center"/>
          </w:tcPr>
          <w:p>
            <w:r/>
            <w:r>
              <w:rPr>
                <w:rFonts w:ascii="Aptos" w:hAnsi="Aptos"/>
                <w:b w:val="0"/>
                <w:sz w:val="14"/>
              </w:rPr>
              <w:t>Public procurement material refers to Event Horizon findings under prior UK MOD contracts</w:t>
            </w:r>
          </w:p>
        </w:tc>
        <w:tc>
          <w:tcPr>
            <w:tcW w:type="dxa" w:w="2541"/>
            <w:vAlign w:val="center"/>
          </w:tcPr>
          <w:p>
            <w:r/>
            <w:r>
              <w:rPr>
                <w:rFonts w:ascii="Aptos" w:hAnsi="Aptos"/>
                <w:b w:val="0"/>
                <w:sz w:val="14"/>
              </w:rPr>
              <w:t>Procurement evidence; site not always specified</w:t>
            </w:r>
          </w:p>
        </w:tc>
        <w:tc>
          <w:tcPr>
            <w:tcW w:type="dxa" w:w="2541"/>
            <w:vAlign w:val="center"/>
          </w:tcPr>
          <w:p>
            <w:r/>
            <w:r>
              <w:rPr>
                <w:rFonts w:ascii="Aptos" w:hAnsi="Aptos"/>
                <w:b w:val="0"/>
                <w:sz w:val="14"/>
              </w:rPr>
              <w:t>Obtain task orders and site location</w:t>
            </w:r>
          </w:p>
        </w:tc>
      </w:tr>
      <w:tr>
        <w:tc>
          <w:tcPr>
            <w:tcW w:type="dxa" w:w="2541"/>
            <w:vAlign w:val="center"/>
          </w:tcPr>
          <w:p>
            <w:r/>
            <w:r>
              <w:rPr>
                <w:rFonts w:ascii="Aptos" w:hAnsi="Aptos"/>
                <w:b w:val="0"/>
                <w:sz w:val="14"/>
              </w:rPr>
              <w:t>May 2017</w:t>
            </w:r>
          </w:p>
        </w:tc>
        <w:tc>
          <w:tcPr>
            <w:tcW w:type="dxa" w:w="2541"/>
            <w:vAlign w:val="center"/>
          </w:tcPr>
          <w:p>
            <w:r/>
            <w:r>
              <w:rPr>
                <w:rFonts w:ascii="Aptos" w:hAnsi="Aptos"/>
                <w:b w:val="0"/>
                <w:sz w:val="14"/>
              </w:rPr>
              <w:t>Current operator says stewardship of Holmans assumed in 2017</w:t>
            </w:r>
          </w:p>
        </w:tc>
        <w:tc>
          <w:tcPr>
            <w:tcW w:type="dxa" w:w="2541"/>
            <w:vAlign w:val="center"/>
          </w:tcPr>
          <w:p>
            <w:r/>
            <w:r>
              <w:rPr>
                <w:rFonts w:ascii="Aptos" w:hAnsi="Aptos"/>
                <w:b w:val="0"/>
                <w:sz w:val="14"/>
              </w:rPr>
              <w:t>Operator primary</w:t>
            </w:r>
          </w:p>
        </w:tc>
        <w:tc>
          <w:tcPr>
            <w:tcW w:type="dxa" w:w="2541"/>
            <w:vAlign w:val="center"/>
          </w:tcPr>
          <w:p>
            <w:r/>
            <w:r>
              <w:rPr>
                <w:rFonts w:ascii="Aptos" w:hAnsi="Aptos"/>
                <w:b w:val="0"/>
                <w:sz w:val="14"/>
              </w:rPr>
              <w:t>Obtain purchase/lease/licence transfer and baseline condition reports</w:t>
            </w:r>
          </w:p>
        </w:tc>
      </w:tr>
      <w:tr>
        <w:tc>
          <w:tcPr>
            <w:tcW w:type="dxa" w:w="2541"/>
            <w:vAlign w:val="center"/>
          </w:tcPr>
          <w:p>
            <w:r/>
            <w:r>
              <w:rPr>
                <w:rFonts w:ascii="Aptos" w:hAnsi="Aptos"/>
                <w:b w:val="0"/>
                <w:sz w:val="14"/>
              </w:rPr>
              <w:t>July 2018</w:t>
            </w:r>
          </w:p>
        </w:tc>
        <w:tc>
          <w:tcPr>
            <w:tcW w:type="dxa" w:w="2541"/>
            <w:vAlign w:val="center"/>
          </w:tcPr>
          <w:p>
            <w:r/>
            <w:r>
              <w:rPr>
                <w:rFonts w:ascii="Aptos" w:hAnsi="Aptos"/>
                <w:b w:val="0"/>
                <w:sz w:val="14"/>
              </w:rPr>
              <w:t>Trade interview describes active explosive work, ventilation development and a 24-hour smoke-related return limitation in a chamber</w:t>
            </w:r>
          </w:p>
        </w:tc>
        <w:tc>
          <w:tcPr>
            <w:tcW w:type="dxa" w:w="2541"/>
            <w:vAlign w:val="center"/>
          </w:tcPr>
          <w:p>
            <w:r/>
            <w:r>
              <w:rPr>
                <w:rFonts w:ascii="Aptos" w:hAnsi="Aptos"/>
                <w:b w:val="0"/>
                <w:sz w:val="14"/>
              </w:rPr>
              <w:t>Independent contemporaneous / operator interview</w:t>
            </w:r>
          </w:p>
        </w:tc>
        <w:tc>
          <w:tcPr>
            <w:tcW w:type="dxa" w:w="2541"/>
            <w:vAlign w:val="center"/>
          </w:tcPr>
          <w:p>
            <w:r/>
            <w:r>
              <w:rPr>
                <w:rFonts w:ascii="Aptos" w:hAnsi="Aptos"/>
                <w:b w:val="0"/>
                <w:sz w:val="14"/>
              </w:rPr>
              <w:t>Preserve article; request underlying risk/ventilation records</w:t>
            </w:r>
          </w:p>
        </w:tc>
      </w:tr>
      <w:tr>
        <w:tc>
          <w:tcPr>
            <w:tcW w:type="dxa" w:w="2541"/>
            <w:vAlign w:val="center"/>
          </w:tcPr>
          <w:p>
            <w:r/>
            <w:r>
              <w:rPr>
                <w:rFonts w:ascii="Aptos" w:hAnsi="Aptos"/>
                <w:b w:val="0"/>
                <w:sz w:val="14"/>
              </w:rPr>
              <w:t>2022–2026</w:t>
            </w:r>
          </w:p>
        </w:tc>
        <w:tc>
          <w:tcPr>
            <w:tcW w:type="dxa" w:w="2541"/>
            <w:vAlign w:val="center"/>
          </w:tcPr>
          <w:p>
            <w:r/>
            <w:r>
              <w:rPr>
                <w:rFonts w:ascii="Aptos" w:hAnsi="Aptos"/>
                <w:b w:val="0"/>
                <w:sz w:val="14"/>
              </w:rPr>
              <w:t>Public online results document Airsoft in Holmans/Troon mine</w:t>
            </w:r>
          </w:p>
        </w:tc>
        <w:tc>
          <w:tcPr>
            <w:tcW w:type="dxa" w:w="2541"/>
            <w:vAlign w:val="center"/>
          </w:tcPr>
          <w:p>
            <w:r/>
            <w:r>
              <w:rPr>
                <w:rFonts w:ascii="Aptos" w:hAnsi="Aptos"/>
                <w:b w:val="0"/>
                <w:sz w:val="14"/>
              </w:rPr>
              <w:t>Public multimedia</w:t>
            </w:r>
          </w:p>
        </w:tc>
        <w:tc>
          <w:tcPr>
            <w:tcW w:type="dxa" w:w="2541"/>
            <w:vAlign w:val="center"/>
          </w:tcPr>
          <w:p>
            <w:r/>
            <w:r>
              <w:rPr>
                <w:rFonts w:ascii="Aptos" w:hAnsi="Aptos"/>
                <w:b w:val="0"/>
                <w:sz w:val="14"/>
              </w:rPr>
              <w:t>Archive pages/videos and metadata</w:t>
            </w:r>
          </w:p>
        </w:tc>
      </w:tr>
      <w:tr>
        <w:tc>
          <w:tcPr>
            <w:tcW w:type="dxa" w:w="2541"/>
            <w:vAlign w:val="center"/>
          </w:tcPr>
          <w:p>
            <w:r/>
            <w:r>
              <w:rPr>
                <w:rFonts w:ascii="Aptos" w:hAnsi="Aptos"/>
                <w:b w:val="0"/>
                <w:sz w:val="14"/>
              </w:rPr>
              <w:t>Jan / Jul 2023</w:t>
            </w:r>
          </w:p>
        </w:tc>
        <w:tc>
          <w:tcPr>
            <w:tcW w:type="dxa" w:w="2541"/>
            <w:vAlign w:val="center"/>
          </w:tcPr>
          <w:p>
            <w:r/>
            <w:r>
              <w:rPr>
                <w:rFonts w:ascii="Aptos" w:hAnsi="Aptos"/>
                <w:b w:val="0"/>
                <w:sz w:val="14"/>
              </w:rPr>
              <w:t>User screenshot shows major YouTube Airsoft videos in Holmans live/test mine</w:t>
            </w:r>
          </w:p>
        </w:tc>
        <w:tc>
          <w:tcPr>
            <w:tcW w:type="dxa" w:w="2541"/>
            <w:vAlign w:val="center"/>
          </w:tcPr>
          <w:p>
            <w:r/>
            <w:r>
              <w:rPr>
                <w:rFonts w:ascii="Aptos" w:hAnsi="Aptos"/>
                <w:b w:val="0"/>
                <w:sz w:val="14"/>
              </w:rPr>
              <w:t>User-supplied/public</w:t>
            </w:r>
          </w:p>
        </w:tc>
        <w:tc>
          <w:tcPr>
            <w:tcW w:type="dxa" w:w="2541"/>
            <w:vAlign w:val="center"/>
          </w:tcPr>
          <w:p>
            <w:r/>
            <w:r>
              <w:rPr>
                <w:rFonts w:ascii="Aptos" w:hAnsi="Aptos"/>
                <w:b w:val="0"/>
                <w:sz w:val="14"/>
              </w:rPr>
              <w:t>Download lawful metadata / transcript; map routes shown</w:t>
            </w:r>
          </w:p>
        </w:tc>
      </w:tr>
      <w:tr>
        <w:tc>
          <w:tcPr>
            <w:tcW w:type="dxa" w:w="2541"/>
            <w:vAlign w:val="center"/>
          </w:tcPr>
          <w:p>
            <w:r/>
            <w:r>
              <w:rPr>
                <w:rFonts w:ascii="Aptos" w:hAnsi="Aptos"/>
                <w:b w:val="0"/>
                <w:sz w:val="14"/>
              </w:rPr>
              <w:t>Oct–Nov 2023</w:t>
            </w:r>
          </w:p>
        </w:tc>
        <w:tc>
          <w:tcPr>
            <w:tcW w:type="dxa" w:w="2541"/>
            <w:vAlign w:val="center"/>
          </w:tcPr>
          <w:p>
            <w:r/>
            <w:r>
              <w:rPr>
                <w:rFonts w:ascii="Aptos" w:hAnsi="Aptos"/>
                <w:b w:val="0"/>
                <w:sz w:val="14"/>
              </w:rPr>
              <w:t>Permission-visit account describes active testing and Airsoft weekend</w:t>
            </w:r>
          </w:p>
        </w:tc>
        <w:tc>
          <w:tcPr>
            <w:tcW w:type="dxa" w:w="2541"/>
            <w:vAlign w:val="center"/>
          </w:tcPr>
          <w:p>
            <w:r/>
            <w:r>
              <w:rPr>
                <w:rFonts w:ascii="Aptos" w:hAnsi="Aptos"/>
                <w:b w:val="0"/>
                <w:sz w:val="14"/>
              </w:rPr>
              <w:t>Independent contemporaneous</w:t>
            </w:r>
          </w:p>
        </w:tc>
        <w:tc>
          <w:tcPr>
            <w:tcW w:type="dxa" w:w="2541"/>
            <w:vAlign w:val="center"/>
          </w:tcPr>
          <w:p>
            <w:r/>
            <w:r>
              <w:rPr>
                <w:rFonts w:ascii="Aptos" w:hAnsi="Aptos"/>
                <w:b w:val="0"/>
                <w:sz w:val="14"/>
              </w:rPr>
              <w:t>Map photographed blast doors/test headings/off-limits tunnel</w:t>
            </w:r>
          </w:p>
        </w:tc>
      </w:tr>
      <w:tr>
        <w:tc>
          <w:tcPr>
            <w:tcW w:type="dxa" w:w="2541"/>
            <w:vAlign w:val="center"/>
          </w:tcPr>
          <w:p>
            <w:r/>
            <w:r>
              <w:rPr>
                <w:rFonts w:ascii="Aptos" w:hAnsi="Aptos"/>
                <w:b w:val="0"/>
                <w:sz w:val="14"/>
              </w:rPr>
              <w:t>2017–2026</w:t>
            </w:r>
          </w:p>
        </w:tc>
        <w:tc>
          <w:tcPr>
            <w:tcW w:type="dxa" w:w="2541"/>
            <w:vAlign w:val="center"/>
          </w:tcPr>
          <w:p>
            <w:r/>
            <w:r>
              <w:rPr>
                <w:rFonts w:ascii="Aptos" w:hAnsi="Aptos"/>
                <w:b w:val="0"/>
                <w:sz w:val="14"/>
              </w:rPr>
              <w:t>Operator current facilities page: underground testing, confined chambers, forced-air ventilation, HSE licensed storage</w:t>
            </w:r>
          </w:p>
        </w:tc>
        <w:tc>
          <w:tcPr>
            <w:tcW w:type="dxa" w:w="2541"/>
            <w:vAlign w:val="center"/>
          </w:tcPr>
          <w:p>
            <w:r/>
            <w:r>
              <w:rPr>
                <w:rFonts w:ascii="Aptos" w:hAnsi="Aptos"/>
                <w:b w:val="0"/>
                <w:sz w:val="14"/>
              </w:rPr>
              <w:t>Operator primary</w:t>
            </w:r>
          </w:p>
        </w:tc>
        <w:tc>
          <w:tcPr>
            <w:tcW w:type="dxa" w:w="2541"/>
            <w:vAlign w:val="center"/>
          </w:tcPr>
          <w:p>
            <w:r/>
            <w:r>
              <w:rPr>
                <w:rFonts w:ascii="Aptos" w:hAnsi="Aptos"/>
                <w:b w:val="0"/>
                <w:sz w:val="14"/>
              </w:rPr>
              <w:t>Freeze web copy / request licence pack</w:t>
            </w:r>
          </w:p>
        </w:tc>
      </w:tr>
      <w:tr>
        <w:tc>
          <w:tcPr>
            <w:tcW w:type="dxa" w:w="2541"/>
            <w:vAlign w:val="center"/>
          </w:tcPr>
          <w:p>
            <w:r/>
            <w:r>
              <w:rPr>
                <w:rFonts w:ascii="Aptos" w:hAnsi="Aptos"/>
                <w:b w:val="0"/>
                <w:sz w:val="14"/>
              </w:rPr>
              <w:t>Ten-year model</w:t>
            </w:r>
          </w:p>
        </w:tc>
        <w:tc>
          <w:tcPr>
            <w:tcW w:type="dxa" w:w="2541"/>
            <w:vAlign w:val="center"/>
          </w:tcPr>
          <w:p>
            <w:r/>
            <w:r>
              <w:rPr>
                <w:rFonts w:ascii="Aptos" w:hAnsi="Aptos"/>
                <w:b w:val="0"/>
                <w:sz w:val="14"/>
              </w:rPr>
              <w:t>1–2 test days/week supplied for investigation</w:t>
            </w:r>
          </w:p>
        </w:tc>
        <w:tc>
          <w:tcPr>
            <w:tcW w:type="dxa" w:w="2541"/>
            <w:vAlign w:val="center"/>
          </w:tcPr>
          <w:p>
            <w:r/>
            <w:r>
              <w:rPr>
                <w:rFonts w:ascii="Aptos" w:hAnsi="Aptos"/>
                <w:b w:val="0"/>
                <w:sz w:val="14"/>
              </w:rPr>
              <w:t>Scenario based on project evidence</w:t>
            </w:r>
          </w:p>
        </w:tc>
        <w:tc>
          <w:tcPr>
            <w:tcW w:type="dxa" w:w="2541"/>
            <w:vAlign w:val="center"/>
          </w:tcPr>
          <w:p>
            <w:r/>
            <w:r>
              <w:rPr>
                <w:rFonts w:ascii="Aptos" w:hAnsi="Aptos"/>
                <w:b w:val="0"/>
                <w:sz w:val="14"/>
              </w:rPr>
              <w:t>Validate against firing ledger</w:t>
            </w:r>
          </w:p>
        </w:tc>
      </w:tr>
    </w:tbl>
    <w:p>
      <w:pPr>
        <w:pStyle w:val="Small"/>
      </w:pPr>
    </w:p>
    <w:p>
      <w:pPr>
        <w:pStyle w:val="Heading1"/>
      </w:pPr>
      <w:r>
        <w:t>18. Priority Risk Matrix</w:t>
      </w:r>
    </w:p>
    <w:tbl>
      <w:tblPr>
        <w:tblStyle w:val="TableGrid"/>
        <w:tblW w:type="auto" w:w="0"/>
        <w:jc w:val="center"/>
        <w:tblLook w:firstColumn="1" w:firstRow="1" w:lastColumn="0" w:lastRow="0" w:noHBand="0" w:noVBand="1" w:val="04A0"/>
      </w:tblPr>
      <w:tblGrid>
        <w:gridCol w:w="2541"/>
        <w:gridCol w:w="2541"/>
        <w:gridCol w:w="2541"/>
        <w:gridCol w:w="2541"/>
      </w:tblGrid>
      <w:tr>
        <w:tc>
          <w:tcPr>
            <w:tcW w:type="dxa" w:w="2541"/>
            <w:vAlign w:val="center"/>
            <w:shd w:fill="D9EAF7"/>
          </w:tcPr>
          <w:p>
            <w:r/>
            <w:r>
              <w:rPr>
                <w:rFonts w:ascii="Aptos" w:hAnsi="Aptos"/>
                <w:b/>
                <w:sz w:val="14"/>
              </w:rPr>
              <w:t>Issue</w:t>
            </w:r>
          </w:p>
        </w:tc>
        <w:tc>
          <w:tcPr>
            <w:tcW w:type="dxa" w:w="2541"/>
            <w:vAlign w:val="center"/>
            <w:shd w:fill="D9EAF7"/>
          </w:tcPr>
          <w:p>
            <w:r/>
            <w:r>
              <w:rPr>
                <w:rFonts w:ascii="Aptos" w:hAnsi="Aptos"/>
                <w:b/>
                <w:sz w:val="14"/>
              </w:rPr>
              <w:t>Current evidence strength</w:t>
            </w:r>
          </w:p>
        </w:tc>
        <w:tc>
          <w:tcPr>
            <w:tcW w:type="dxa" w:w="2541"/>
            <w:vAlign w:val="center"/>
            <w:shd w:fill="D9EAF7"/>
          </w:tcPr>
          <w:p>
            <w:r/>
            <w:r>
              <w:rPr>
                <w:rFonts w:ascii="Aptos" w:hAnsi="Aptos"/>
                <w:b/>
                <w:sz w:val="14"/>
              </w:rPr>
              <w:t>Potential consequence if confirmed</w:t>
            </w:r>
          </w:p>
        </w:tc>
        <w:tc>
          <w:tcPr>
            <w:tcW w:type="dxa" w:w="2541"/>
            <w:vAlign w:val="center"/>
            <w:shd w:fill="D9EAF7"/>
          </w:tcPr>
          <w:p>
            <w:r/>
            <w:r>
              <w:rPr>
                <w:rFonts w:ascii="Aptos" w:hAnsi="Aptos"/>
                <w:b/>
                <w:sz w:val="14"/>
              </w:rPr>
              <w:t>Priority</w:t>
            </w:r>
          </w:p>
        </w:tc>
      </w:tr>
      <w:tr>
        <w:tc>
          <w:tcPr>
            <w:tcW w:type="dxa" w:w="2541"/>
            <w:vAlign w:val="center"/>
          </w:tcPr>
          <w:p>
            <w:r/>
            <w:r>
              <w:rPr>
                <w:rFonts w:ascii="Aptos" w:hAnsi="Aptos"/>
                <w:b w:val="0"/>
                <w:sz w:val="14"/>
              </w:rPr>
              <w:t>Shared-period explosive testing + Airsoft use</w:t>
            </w:r>
          </w:p>
        </w:tc>
        <w:tc>
          <w:tcPr>
            <w:tcW w:type="dxa" w:w="2541"/>
            <w:vAlign w:val="center"/>
          </w:tcPr>
          <w:p>
            <w:r/>
            <w:r>
              <w:rPr>
                <w:rFonts w:ascii="Aptos" w:hAnsi="Aptos"/>
                <w:b w:val="0"/>
                <w:sz w:val="14"/>
              </w:rPr>
              <w:t>High for co-use; timing detail incomplete</w:t>
            </w:r>
          </w:p>
        </w:tc>
        <w:tc>
          <w:tcPr>
            <w:tcW w:type="dxa" w:w="2541"/>
            <w:vAlign w:val="center"/>
          </w:tcPr>
          <w:p>
            <w:r/>
            <w:r>
              <w:rPr>
                <w:rFonts w:ascii="Aptos" w:hAnsi="Aptos"/>
                <w:b w:val="0"/>
                <w:sz w:val="14"/>
              </w:rPr>
              <w:t>Public exposure / governance / access-control failure</w:t>
            </w:r>
          </w:p>
        </w:tc>
        <w:tc>
          <w:tcPr>
            <w:tcW w:type="dxa" w:w="2541"/>
            <w:vAlign w:val="center"/>
          </w:tcPr>
          <w:p>
            <w:r/>
            <w:r>
              <w:rPr>
                <w:rFonts w:ascii="Aptos" w:hAnsi="Aptos"/>
                <w:b w:val="0"/>
                <w:sz w:val="14"/>
              </w:rPr>
              <w:t>URGENT</w:t>
            </w:r>
          </w:p>
        </w:tc>
      </w:tr>
      <w:tr>
        <w:tc>
          <w:tcPr>
            <w:tcW w:type="dxa" w:w="2541"/>
            <w:vAlign w:val="center"/>
          </w:tcPr>
          <w:p>
            <w:r/>
            <w:r>
              <w:rPr>
                <w:rFonts w:ascii="Aptos" w:hAnsi="Aptos"/>
                <w:b w:val="0"/>
                <w:sz w:val="14"/>
              </w:rPr>
              <w:t>Post-blast atmosphere and ventilation</w:t>
            </w:r>
          </w:p>
        </w:tc>
        <w:tc>
          <w:tcPr>
            <w:tcW w:type="dxa" w:w="2541"/>
            <w:vAlign w:val="center"/>
          </w:tcPr>
          <w:p>
            <w:r/>
            <w:r>
              <w:rPr>
                <w:rFonts w:ascii="Aptos" w:hAnsi="Aptos"/>
                <w:b w:val="0"/>
                <w:sz w:val="14"/>
              </w:rPr>
              <w:t>High historical relevance; current data absent</w:t>
            </w:r>
          </w:p>
        </w:tc>
        <w:tc>
          <w:tcPr>
            <w:tcW w:type="dxa" w:w="2541"/>
            <w:vAlign w:val="center"/>
          </w:tcPr>
          <w:p>
            <w:r/>
            <w:r>
              <w:rPr>
                <w:rFonts w:ascii="Aptos" w:hAnsi="Aptos"/>
                <w:b w:val="0"/>
                <w:sz w:val="14"/>
              </w:rPr>
              <w:t>Acute gas/fume/dust exposure; external exhaust deposition</w:t>
            </w:r>
          </w:p>
        </w:tc>
        <w:tc>
          <w:tcPr>
            <w:tcW w:type="dxa" w:w="2541"/>
            <w:vAlign w:val="center"/>
          </w:tcPr>
          <w:p>
            <w:r/>
            <w:r>
              <w:rPr>
                <w:rFonts w:ascii="Aptos" w:hAnsi="Aptos"/>
                <w:b w:val="0"/>
                <w:sz w:val="14"/>
              </w:rPr>
              <w:t>URGENT</w:t>
            </w:r>
          </w:p>
        </w:tc>
      </w:tr>
      <w:tr>
        <w:tc>
          <w:tcPr>
            <w:tcW w:type="dxa" w:w="2541"/>
            <w:vAlign w:val="center"/>
          </w:tcPr>
          <w:p>
            <w:r/>
            <w:r>
              <w:rPr>
                <w:rFonts w:ascii="Aptos" w:hAnsi="Aptos"/>
                <w:b w:val="0"/>
                <w:sz w:val="14"/>
              </w:rPr>
              <w:t>Groundwater / mine-water connectivity</w:t>
            </w:r>
          </w:p>
        </w:tc>
        <w:tc>
          <w:tcPr>
            <w:tcW w:type="dxa" w:w="2541"/>
            <w:vAlign w:val="center"/>
          </w:tcPr>
          <w:p>
            <w:r/>
            <w:r>
              <w:rPr>
                <w:rFonts w:ascii="Aptos" w:hAnsi="Aptos"/>
                <w:b w:val="0"/>
                <w:sz w:val="14"/>
              </w:rPr>
              <w:t>Plausible; requires hydrogeology</w:t>
            </w:r>
          </w:p>
        </w:tc>
        <w:tc>
          <w:tcPr>
            <w:tcW w:type="dxa" w:w="2541"/>
            <w:vAlign w:val="center"/>
          </w:tcPr>
          <w:p>
            <w:r/>
            <w:r>
              <w:rPr>
                <w:rFonts w:ascii="Aptos" w:hAnsi="Aptos"/>
                <w:b w:val="0"/>
                <w:sz w:val="14"/>
              </w:rPr>
              <w:t>Long-term transport to springs/stream</w:t>
            </w:r>
          </w:p>
        </w:tc>
        <w:tc>
          <w:tcPr>
            <w:tcW w:type="dxa" w:w="2541"/>
            <w:vAlign w:val="center"/>
          </w:tcPr>
          <w:p>
            <w:r/>
            <w:r>
              <w:rPr>
                <w:rFonts w:ascii="Aptos" w:hAnsi="Aptos"/>
                <w:b w:val="0"/>
                <w:sz w:val="14"/>
              </w:rPr>
              <w:t>URGENT</w:t>
            </w:r>
          </w:p>
        </w:tc>
      </w:tr>
      <w:tr>
        <w:tc>
          <w:tcPr>
            <w:tcW w:type="dxa" w:w="2541"/>
            <w:vAlign w:val="center"/>
          </w:tcPr>
          <w:p>
            <w:r/>
            <w:r>
              <w:rPr>
                <w:rFonts w:ascii="Aptos" w:hAnsi="Aptos"/>
                <w:b w:val="0"/>
                <w:sz w:val="14"/>
              </w:rPr>
              <w:t>Mine-metal mobilisation / sulphur chemistry</w:t>
            </w:r>
          </w:p>
        </w:tc>
        <w:tc>
          <w:tcPr>
            <w:tcW w:type="dxa" w:w="2541"/>
            <w:vAlign w:val="center"/>
          </w:tcPr>
          <w:p>
            <w:r/>
            <w:r>
              <w:rPr>
                <w:rFonts w:ascii="Aptos" w:hAnsi="Aptos"/>
                <w:b w:val="0"/>
                <w:sz w:val="14"/>
              </w:rPr>
              <w:t>Strong regional mechanism; site contribution unproven</w:t>
            </w:r>
          </w:p>
        </w:tc>
        <w:tc>
          <w:tcPr>
            <w:tcW w:type="dxa" w:w="2541"/>
            <w:vAlign w:val="center"/>
          </w:tcPr>
          <w:p>
            <w:r/>
            <w:r>
              <w:rPr>
                <w:rFonts w:ascii="Aptos" w:hAnsi="Aptos"/>
                <w:b w:val="0"/>
                <w:sz w:val="14"/>
              </w:rPr>
              <w:t>Aquatic/ecological and vegetation effects</w:t>
            </w:r>
          </w:p>
        </w:tc>
        <w:tc>
          <w:tcPr>
            <w:tcW w:type="dxa" w:w="2541"/>
            <w:vAlign w:val="center"/>
          </w:tcPr>
          <w:p>
            <w:r/>
            <w:r>
              <w:rPr>
                <w:rFonts w:ascii="Aptos" w:hAnsi="Aptos"/>
                <w:b w:val="0"/>
                <w:sz w:val="14"/>
              </w:rPr>
              <w:t>HIGH</w:t>
            </w:r>
          </w:p>
        </w:tc>
      </w:tr>
      <w:tr>
        <w:tc>
          <w:tcPr>
            <w:tcW w:type="dxa" w:w="2541"/>
            <w:vAlign w:val="center"/>
          </w:tcPr>
          <w:p>
            <w:r/>
            <w:r>
              <w:rPr>
                <w:rFonts w:ascii="Aptos" w:hAnsi="Aptos"/>
                <w:b w:val="0"/>
                <w:sz w:val="14"/>
              </w:rPr>
              <w:t>Energetic residues</w:t>
            </w:r>
          </w:p>
        </w:tc>
        <w:tc>
          <w:tcPr>
            <w:tcW w:type="dxa" w:w="2541"/>
            <w:vAlign w:val="center"/>
          </w:tcPr>
          <w:p>
            <w:r/>
            <w:r>
              <w:rPr>
                <w:rFonts w:ascii="Aptos" w:hAnsi="Aptos"/>
                <w:b w:val="0"/>
                <w:sz w:val="14"/>
              </w:rPr>
              <w:t>Scientifically credible; inventory unknown</w:t>
            </w:r>
          </w:p>
        </w:tc>
        <w:tc>
          <w:tcPr>
            <w:tcW w:type="dxa" w:w="2541"/>
            <w:vAlign w:val="center"/>
          </w:tcPr>
          <w:p>
            <w:r/>
            <w:r>
              <w:rPr>
                <w:rFonts w:ascii="Aptos" w:hAnsi="Aptos"/>
                <w:b w:val="0"/>
                <w:sz w:val="14"/>
              </w:rPr>
              <w:t>Groundwater / soil contamination</w:t>
            </w:r>
          </w:p>
        </w:tc>
        <w:tc>
          <w:tcPr>
            <w:tcW w:type="dxa" w:w="2541"/>
            <w:vAlign w:val="center"/>
          </w:tcPr>
          <w:p>
            <w:r/>
            <w:r>
              <w:rPr>
                <w:rFonts w:ascii="Aptos" w:hAnsi="Aptos"/>
                <w:b w:val="0"/>
                <w:sz w:val="14"/>
              </w:rPr>
              <w:t>HIGH</w:t>
            </w:r>
          </w:p>
        </w:tc>
      </w:tr>
      <w:tr>
        <w:tc>
          <w:tcPr>
            <w:tcW w:type="dxa" w:w="2541"/>
            <w:vAlign w:val="center"/>
          </w:tcPr>
          <w:p>
            <w:r/>
            <w:r>
              <w:rPr>
                <w:rFonts w:ascii="Aptos" w:hAnsi="Aptos"/>
                <w:b w:val="0"/>
                <w:sz w:val="14"/>
              </w:rPr>
              <w:t>Ground stability / subsidence interaction</w:t>
            </w:r>
          </w:p>
        </w:tc>
        <w:tc>
          <w:tcPr>
            <w:tcW w:type="dxa" w:w="2541"/>
            <w:vAlign w:val="center"/>
          </w:tcPr>
          <w:p>
            <w:r/>
            <w:r>
              <w:rPr>
                <w:rFonts w:ascii="Aptos" w:hAnsi="Aptos"/>
                <w:b w:val="0"/>
                <w:sz w:val="14"/>
              </w:rPr>
              <w:t>Reported observations; causation unproven</w:t>
            </w:r>
          </w:p>
        </w:tc>
        <w:tc>
          <w:tcPr>
            <w:tcW w:type="dxa" w:w="2541"/>
            <w:vAlign w:val="center"/>
          </w:tcPr>
          <w:p>
            <w:r/>
            <w:r>
              <w:rPr>
                <w:rFonts w:ascii="Aptos" w:hAnsi="Aptos"/>
                <w:b w:val="0"/>
                <w:sz w:val="14"/>
              </w:rPr>
              <w:t>Property, public path, tree/ground hazard</w:t>
            </w:r>
          </w:p>
        </w:tc>
        <w:tc>
          <w:tcPr>
            <w:tcW w:type="dxa" w:w="2541"/>
            <w:vAlign w:val="center"/>
          </w:tcPr>
          <w:p>
            <w:r/>
            <w:r>
              <w:rPr>
                <w:rFonts w:ascii="Aptos" w:hAnsi="Aptos"/>
                <w:b w:val="0"/>
                <w:sz w:val="14"/>
              </w:rPr>
              <w:t>HIGH</w:t>
            </w:r>
          </w:p>
        </w:tc>
      </w:tr>
      <w:tr>
        <w:tc>
          <w:tcPr>
            <w:tcW w:type="dxa" w:w="2541"/>
            <w:vAlign w:val="center"/>
          </w:tcPr>
          <w:p>
            <w:r/>
            <w:r>
              <w:rPr>
                <w:rFonts w:ascii="Aptos" w:hAnsi="Aptos"/>
                <w:b w:val="0"/>
                <w:sz w:val="14"/>
              </w:rPr>
              <w:t>Wildlife effects</w:t>
            </w:r>
          </w:p>
        </w:tc>
        <w:tc>
          <w:tcPr>
            <w:tcW w:type="dxa" w:w="2541"/>
            <w:vAlign w:val="center"/>
          </w:tcPr>
          <w:p>
            <w:r/>
            <w:r>
              <w:rPr>
                <w:rFonts w:ascii="Aptos" w:hAnsi="Aptos"/>
                <w:b w:val="0"/>
                <w:sz w:val="14"/>
              </w:rPr>
              <w:t>Receptors reported; exposure linkage unproven</w:t>
            </w:r>
          </w:p>
        </w:tc>
        <w:tc>
          <w:tcPr>
            <w:tcW w:type="dxa" w:w="2541"/>
            <w:vAlign w:val="center"/>
          </w:tcPr>
          <w:p>
            <w:r/>
            <w:r>
              <w:rPr>
                <w:rFonts w:ascii="Aptos" w:hAnsi="Aptos"/>
                <w:b w:val="0"/>
                <w:sz w:val="14"/>
              </w:rPr>
              <w:t>Protected-species / ecological harm</w:t>
            </w:r>
          </w:p>
        </w:tc>
        <w:tc>
          <w:tcPr>
            <w:tcW w:type="dxa" w:w="2541"/>
            <w:vAlign w:val="center"/>
          </w:tcPr>
          <w:p>
            <w:r/>
            <w:r>
              <w:rPr>
                <w:rFonts w:ascii="Aptos" w:hAnsi="Aptos"/>
                <w:b w:val="0"/>
                <w:sz w:val="14"/>
              </w:rPr>
              <w:t>HIGH</w:t>
            </w:r>
          </w:p>
        </w:tc>
      </w:tr>
      <w:tr>
        <w:tc>
          <w:tcPr>
            <w:tcW w:type="dxa" w:w="2541"/>
            <w:vAlign w:val="center"/>
          </w:tcPr>
          <w:p>
            <w:r/>
            <w:r>
              <w:rPr>
                <w:rFonts w:ascii="Aptos" w:hAnsi="Aptos"/>
                <w:b w:val="0"/>
                <w:sz w:val="14"/>
              </w:rPr>
              <w:t>MOD / military-material specifics</w:t>
            </w:r>
          </w:p>
        </w:tc>
        <w:tc>
          <w:tcPr>
            <w:tcW w:type="dxa" w:w="2541"/>
            <w:vAlign w:val="center"/>
          </w:tcPr>
          <w:p>
            <w:r/>
            <w:r>
              <w:rPr>
                <w:rFonts w:ascii="Aptos" w:hAnsi="Aptos"/>
                <w:b w:val="0"/>
                <w:sz w:val="14"/>
              </w:rPr>
              <w:t>Some public procurement evidence; Holmans-specific linkage incomplete</w:t>
            </w:r>
          </w:p>
        </w:tc>
        <w:tc>
          <w:tcPr>
            <w:tcW w:type="dxa" w:w="2541"/>
            <w:vAlign w:val="center"/>
          </w:tcPr>
          <w:p>
            <w:r/>
            <w:r>
              <w:rPr>
                <w:rFonts w:ascii="Aptos" w:hAnsi="Aptos"/>
                <w:b w:val="0"/>
                <w:sz w:val="14"/>
              </w:rPr>
              <w:t>Defines chemical/test inventory and oversight</w:t>
            </w:r>
          </w:p>
        </w:tc>
        <w:tc>
          <w:tcPr>
            <w:tcW w:type="dxa" w:w="2541"/>
            <w:vAlign w:val="center"/>
          </w:tcPr>
          <w:p>
            <w:r/>
            <w:r>
              <w:rPr>
                <w:rFonts w:ascii="Aptos" w:hAnsi="Aptos"/>
                <w:b w:val="0"/>
                <w:sz w:val="14"/>
              </w:rPr>
              <w:t>HIGH</w:t>
            </w:r>
          </w:p>
        </w:tc>
      </w:tr>
    </w:tbl>
    <w:p>
      <w:pPr>
        <w:pStyle w:val="Small"/>
      </w:pPr>
    </w:p>
    <w:p>
      <w:pPr>
        <w:pStyle w:val="Heading1"/>
      </w:pPr>
      <w:r>
        <w:t>19. Required Expert Team</w:t>
      </w:r>
    </w:p>
    <w:tbl>
      <w:tblPr>
        <w:tblStyle w:val="TableGrid"/>
        <w:tblW w:type="auto" w:w="0"/>
        <w:jc w:val="center"/>
        <w:tblLook w:firstColumn="1" w:firstRow="1" w:lastColumn="0" w:lastRow="0" w:noHBand="0" w:noVBand="1" w:val="04A0"/>
      </w:tblPr>
      <w:tblGrid>
        <w:gridCol w:w="5083"/>
        <w:gridCol w:w="5083"/>
      </w:tblGrid>
      <w:tr>
        <w:tc>
          <w:tcPr>
            <w:tcW w:type="dxa" w:w="5083"/>
            <w:vAlign w:val="center"/>
            <w:shd w:fill="D9EAF7"/>
          </w:tcPr>
          <w:p>
            <w:r/>
            <w:r>
              <w:rPr>
                <w:rFonts w:ascii="Aptos" w:hAnsi="Aptos"/>
                <w:b/>
                <w:sz w:val="15"/>
              </w:rPr>
              <w:t>Expert</w:t>
            </w:r>
          </w:p>
        </w:tc>
        <w:tc>
          <w:tcPr>
            <w:tcW w:type="dxa" w:w="5083"/>
            <w:vAlign w:val="center"/>
            <w:shd w:fill="D9EAF7"/>
          </w:tcPr>
          <w:p>
            <w:r/>
            <w:r>
              <w:rPr>
                <w:rFonts w:ascii="Aptos" w:hAnsi="Aptos"/>
                <w:b/>
                <w:sz w:val="15"/>
              </w:rPr>
              <w:t>Role</w:t>
            </w:r>
          </w:p>
        </w:tc>
      </w:tr>
      <w:tr>
        <w:tc>
          <w:tcPr>
            <w:tcW w:type="dxa" w:w="5083"/>
            <w:vAlign w:val="center"/>
          </w:tcPr>
          <w:p>
            <w:r/>
            <w:r>
              <w:rPr>
                <w:rFonts w:ascii="Aptos" w:hAnsi="Aptos"/>
                <w:b w:val="0"/>
                <w:sz w:val="15"/>
              </w:rPr>
              <w:t>Chartered hydrogeologist / contaminated-land specialist</w:t>
            </w:r>
          </w:p>
        </w:tc>
        <w:tc>
          <w:tcPr>
            <w:tcW w:type="dxa" w:w="5083"/>
            <w:vAlign w:val="center"/>
          </w:tcPr>
          <w:p>
            <w:r/>
            <w:r>
              <w:rPr>
                <w:rFonts w:ascii="Aptos" w:hAnsi="Aptos"/>
                <w:b w:val="0"/>
                <w:sz w:val="15"/>
              </w:rPr>
              <w:t>Conceptual site model, groundwater pathways, sampling and source attribution</w:t>
            </w:r>
          </w:p>
        </w:tc>
      </w:tr>
      <w:tr>
        <w:tc>
          <w:tcPr>
            <w:tcW w:type="dxa" w:w="5083"/>
            <w:vAlign w:val="center"/>
          </w:tcPr>
          <w:p>
            <w:r/>
            <w:r>
              <w:rPr>
                <w:rFonts w:ascii="Aptos" w:hAnsi="Aptos"/>
                <w:b w:val="0"/>
                <w:sz w:val="15"/>
              </w:rPr>
              <w:t>Explosives / energetic-materials chemist</w:t>
            </w:r>
          </w:p>
        </w:tc>
        <w:tc>
          <w:tcPr>
            <w:tcW w:type="dxa" w:w="5083"/>
            <w:vAlign w:val="center"/>
          </w:tcPr>
          <w:p>
            <w:r/>
            <w:r>
              <w:rPr>
                <w:rFonts w:ascii="Aptos" w:hAnsi="Aptos"/>
                <w:b w:val="0"/>
                <w:sz w:val="15"/>
              </w:rPr>
              <w:t>Inventory interpretation, detonation residues, analytical target list</w:t>
            </w:r>
          </w:p>
        </w:tc>
      </w:tr>
      <w:tr>
        <w:tc>
          <w:tcPr>
            <w:tcW w:type="dxa" w:w="5083"/>
            <w:vAlign w:val="center"/>
          </w:tcPr>
          <w:p>
            <w:r/>
            <w:r>
              <w:rPr>
                <w:rFonts w:ascii="Aptos" w:hAnsi="Aptos"/>
                <w:b w:val="0"/>
                <w:sz w:val="15"/>
              </w:rPr>
              <w:t>Mining geotechnical / blasting engineer</w:t>
            </w:r>
          </w:p>
        </w:tc>
        <w:tc>
          <w:tcPr>
            <w:tcW w:type="dxa" w:w="5083"/>
            <w:vAlign w:val="center"/>
          </w:tcPr>
          <w:p>
            <w:r/>
            <w:r>
              <w:rPr>
                <w:rFonts w:ascii="Aptos" w:hAnsi="Aptos"/>
                <w:b w:val="0"/>
                <w:sz w:val="15"/>
              </w:rPr>
              <w:t>Void geometry, vibration, PPV, stability and subsidence plausibility</w:t>
            </w:r>
          </w:p>
        </w:tc>
      </w:tr>
      <w:tr>
        <w:tc>
          <w:tcPr>
            <w:tcW w:type="dxa" w:w="5083"/>
            <w:vAlign w:val="center"/>
          </w:tcPr>
          <w:p>
            <w:r/>
            <w:r>
              <w:rPr>
                <w:rFonts w:ascii="Aptos" w:hAnsi="Aptos"/>
                <w:b w:val="0"/>
                <w:sz w:val="15"/>
              </w:rPr>
              <w:t>Occupational hygienist</w:t>
            </w:r>
          </w:p>
        </w:tc>
        <w:tc>
          <w:tcPr>
            <w:tcW w:type="dxa" w:w="5083"/>
            <w:vAlign w:val="center"/>
          </w:tcPr>
          <w:p>
            <w:r/>
            <w:r>
              <w:rPr>
                <w:rFonts w:ascii="Aptos" w:hAnsi="Aptos"/>
                <w:b w:val="0"/>
                <w:sz w:val="15"/>
              </w:rPr>
              <w:t>Post-blast gases, particulate, ventilation and re-entry criteria</w:t>
            </w:r>
          </w:p>
        </w:tc>
      </w:tr>
      <w:tr>
        <w:tc>
          <w:tcPr>
            <w:tcW w:type="dxa" w:w="5083"/>
            <w:vAlign w:val="center"/>
          </w:tcPr>
          <w:p>
            <w:r/>
            <w:r>
              <w:rPr>
                <w:rFonts w:ascii="Aptos" w:hAnsi="Aptos"/>
                <w:b w:val="0"/>
                <w:sz w:val="15"/>
              </w:rPr>
              <w:t>Environmental chemist</w:t>
            </w:r>
          </w:p>
        </w:tc>
        <w:tc>
          <w:tcPr>
            <w:tcW w:type="dxa" w:w="5083"/>
            <w:vAlign w:val="center"/>
          </w:tcPr>
          <w:p>
            <w:r/>
            <w:r>
              <w:rPr>
                <w:rFonts w:ascii="Aptos" w:hAnsi="Aptos"/>
                <w:b w:val="0"/>
                <w:sz w:val="15"/>
              </w:rPr>
              <w:t>Mine-water speciation, sulphur and metals, QA/QC</w:t>
            </w:r>
          </w:p>
        </w:tc>
      </w:tr>
      <w:tr>
        <w:tc>
          <w:tcPr>
            <w:tcW w:type="dxa" w:w="5083"/>
            <w:vAlign w:val="center"/>
          </w:tcPr>
          <w:p>
            <w:r/>
            <w:r>
              <w:rPr>
                <w:rFonts w:ascii="Aptos" w:hAnsi="Aptos"/>
                <w:b w:val="0"/>
                <w:sz w:val="15"/>
              </w:rPr>
              <w:t>Ecologist / aquatic ecologist</w:t>
            </w:r>
          </w:p>
        </w:tc>
        <w:tc>
          <w:tcPr>
            <w:tcW w:type="dxa" w:w="5083"/>
            <w:vAlign w:val="center"/>
          </w:tcPr>
          <w:p>
            <w:r/>
            <w:r>
              <w:rPr>
                <w:rFonts w:ascii="Aptos" w:hAnsi="Aptos"/>
                <w:b w:val="0"/>
                <w:sz w:val="15"/>
              </w:rPr>
              <w:t>Receptor verification, macroinvertebrates, protected species</w:t>
            </w:r>
          </w:p>
        </w:tc>
      </w:tr>
      <w:tr>
        <w:tc>
          <w:tcPr>
            <w:tcW w:type="dxa" w:w="5083"/>
            <w:vAlign w:val="center"/>
          </w:tcPr>
          <w:p>
            <w:r/>
            <w:r>
              <w:rPr>
                <w:rFonts w:ascii="Aptos" w:hAnsi="Aptos"/>
                <w:b w:val="0"/>
                <w:sz w:val="15"/>
              </w:rPr>
              <w:t>Forensic environmental statistician</w:t>
            </w:r>
          </w:p>
        </w:tc>
        <w:tc>
          <w:tcPr>
            <w:tcW w:type="dxa" w:w="5083"/>
            <w:vAlign w:val="center"/>
          </w:tcPr>
          <w:p>
            <w:r/>
            <w:r>
              <w:rPr>
                <w:rFonts w:ascii="Aptos" w:hAnsi="Aptos"/>
                <w:b w:val="0"/>
                <w:sz w:val="15"/>
              </w:rPr>
              <w:t>Temporal/spatial analysis and attribution strength</w:t>
            </w:r>
          </w:p>
        </w:tc>
      </w:tr>
      <w:tr>
        <w:tc>
          <w:tcPr>
            <w:tcW w:type="dxa" w:w="5083"/>
            <w:vAlign w:val="center"/>
          </w:tcPr>
          <w:p>
            <w:r/>
            <w:r>
              <w:rPr>
                <w:rFonts w:ascii="Aptos" w:hAnsi="Aptos"/>
                <w:b w:val="0"/>
                <w:sz w:val="15"/>
              </w:rPr>
              <w:t>UK explosives / environmental regulatory lawyer</w:t>
            </w:r>
          </w:p>
        </w:tc>
        <w:tc>
          <w:tcPr>
            <w:tcW w:type="dxa" w:w="5083"/>
            <w:vAlign w:val="center"/>
          </w:tcPr>
          <w:p>
            <w:r/>
            <w:r>
              <w:rPr>
                <w:rFonts w:ascii="Aptos" w:hAnsi="Aptos"/>
                <w:b w:val="0"/>
                <w:sz w:val="15"/>
              </w:rPr>
              <w:t>ER2014/HSE licence interface, environmental permitting, disclosure strategy</w:t>
            </w:r>
          </w:p>
        </w:tc>
      </w:tr>
    </w:tbl>
    <w:p>
      <w:pPr>
        <w:pStyle w:val="Small"/>
      </w:pPr>
    </w:p>
    <w:p>
      <w:pPr>
        <w:pStyle w:val="Heading1"/>
      </w:pPr>
      <w:r>
        <w:t>20. Conclusions</w:t>
      </w:r>
    </w:p>
    <w:p>
      <w:pPr/>
      <w:r>
        <w:rPr>
          <w:b/>
        </w:rPr>
        <w:t xml:space="preserve">1. </w:t>
      </w:r>
      <w:r>
        <w:t>There is robust public evidence that Holmans is an active underground explosive-testing facility under current stewardship and that the same named mine is used for commercial Airsoft during the same broad period [S1–S4].</w:t>
      </w:r>
    </w:p>
    <w:p>
      <w:pPr/>
      <w:r>
        <w:rPr>
          <w:b/>
        </w:rPr>
        <w:t xml:space="preserve">2. </w:t>
      </w:r>
      <w:r>
        <w:t>The issue is not dependent on proving simultaneous firing and gameplay. The material question is whether test residues, atmosphere, dust, drainage, ventilation and restricted infrastructure are demonstrably controlled before and during recreational occupation.</w:t>
      </w:r>
    </w:p>
    <w:p>
      <w:pPr/>
      <w:r>
        <w:rPr>
          <w:b/>
        </w:rPr>
        <w:t xml:space="preserve">3. </w:t>
      </w:r>
      <w:r>
        <w:t>A 2018 operator interview makes post-blast smoke and ventilation a site-specific evidential issue, because it described a chamber that could be tested in but could not then be re-entered for 24 hours in its then-current configuration [S4].</w:t>
      </w:r>
    </w:p>
    <w:p>
      <w:pPr/>
      <w:r>
        <w:rPr>
          <w:b/>
        </w:rPr>
        <w:t xml:space="preserve">4. </w:t>
      </w:r>
      <w:r>
        <w:t>Using the project’s one-to-two-test-days-per-week frequency as a ten-year model gives ~520–1,040 test days and a sensitivity range up to ~5,200 energetic events if multiple firings occurred. Actual figures require the firing ledger.</w:t>
      </w:r>
    </w:p>
    <w:p>
      <w:pPr/>
      <w:r>
        <w:rPr>
          <w:b/>
        </w:rPr>
        <w:t xml:space="preserve">5. </w:t>
      </w:r>
      <w:r>
        <w:t>Cornwall’s established abandoned-metal-mine pollution makes hydrogeological and geochemical investigation more necessary, not less: the study must distinguish natural/historic mine-water chemistry from any incremental effect associated with modern energetic work [S11–S13].</w:t>
      </w:r>
    </w:p>
    <w:p>
      <w:pPr/>
      <w:r>
        <w:rPr>
          <w:b/>
        </w:rPr>
        <w:t xml:space="preserve">6. </w:t>
      </w:r>
      <w:r>
        <w:t>Energetic-residue science demonstrates credible groundwater and soil pathways for some compounds such as RDX where used, and low-order/incomplete detonations can create high local residues. The Holmans inventory must be identified before analytes are selected [S8–S9].</w:t>
      </w:r>
    </w:p>
    <w:p>
      <w:pPr/>
      <w:r>
        <w:rPr>
          <w:b/>
        </w:rPr>
        <w:t xml:space="preserve">7. </w:t>
      </w:r>
      <w:r>
        <w:t>User-supplied sulphur/tree/water and ground-change observations are legitimate investigation triggers but are not yet causation findings. They should be incorporated into a controlled spatial and temporal sampling design.</w:t>
      </w:r>
    </w:p>
    <w:p>
      <w:pPr/>
      <w:r>
        <w:rPr>
          <w:b/>
        </w:rPr>
        <w:t xml:space="preserve">8. </w:t>
      </w:r>
      <w:r>
        <w:t>The decisive evidence package is: HSE licence plans/schedules + firing ledger + test inventory + misfire log + ventilation/re-entry data + Airsoft calendar/routes + mine plans + water/soil/sediment data + environmental permits/monitoring.</w:t>
      </w:r>
    </w:p>
    <w:tbl>
      <w:tblPr>
        <w:tblStyle w:val="TableGrid"/>
        <w:tblW w:type="auto" w:w="0"/>
        <w:jc w:val="center"/>
        <w:tblLook w:firstColumn="1" w:firstRow="1" w:lastColumn="0" w:lastRow="0" w:noHBand="0" w:noVBand="1" w:val="04A0"/>
      </w:tblPr>
      <w:tblGrid>
        <w:gridCol w:w="10166"/>
      </w:tblGrid>
      <w:tr>
        <w:tc>
          <w:tcPr>
            <w:tcW w:type="dxa" w:w="10166"/>
            <w:shd w:fill="E2F0D9"/>
          </w:tcPr>
          <w:p>
            <w:r/>
            <w:r>
              <w:rPr>
                <w:b/>
                <w:color w:val="1F4E79"/>
                <w:sz w:val="18"/>
              </w:rPr>
              <w:t>RECOMMENDED IMMEDIATE POSITION</w:t>
              <w:br/>
            </w:r>
            <w:r>
              <w:rPr>
                <w:sz w:val="17"/>
              </w:rPr>
              <w:t>Preserve the online evidence now; request the regulatory and operator records; commission a chartered hydrogeological conceptual site model; carry out properly controlled water/sediment/soil/tree sampling; and compare the HSE licensed-area plans with Airsoft routes and event dates. This sequence can establish or rule out the suspected pathways without overstating what is not yet proven.</w:t>
            </w:r>
          </w:p>
        </w:tc>
      </w:tr>
    </w:tbl>
    <w:p>
      <w:pPr>
        <w:pStyle w:val="Small"/>
      </w:pPr>
    </w:p>
    <w:p>
      <w:pPr>
        <w:pStyle w:val="Heading1"/>
      </w:pPr>
      <w:r>
        <w:t>Appendix A — User-Supplied Multimedia Evidence</w:t>
      </w:r>
    </w:p>
    <w:p>
      <w:pPr>
        <w:jc w:val="center"/>
      </w:pPr>
      <w:r>
        <w:drawing>
          <wp:inline xmlns:a="http://schemas.openxmlformats.org/drawingml/2006/main" xmlns:pic="http://schemas.openxmlformats.org/drawingml/2006/picture">
            <wp:extent cx="3383280" cy="7329645"/>
            <wp:docPr id="2" name="Picture 2"/>
            <wp:cNvGraphicFramePr>
              <a:graphicFrameLocks noChangeAspect="1"/>
            </wp:cNvGraphicFramePr>
            <a:graphic>
              <a:graphicData uri="http://schemas.openxmlformats.org/drawingml/2006/picture">
                <pic:pic>
                  <pic:nvPicPr>
                    <pic:cNvPr id="0" name="5740.jpg"/>
                    <pic:cNvPicPr/>
                  </pic:nvPicPr>
                  <pic:blipFill>
                    <a:blip r:embed="rId11"/>
                    <a:stretch>
                      <a:fillRect/>
                    </a:stretch>
                  </pic:blipFill>
                  <pic:spPr>
                    <a:xfrm>
                      <a:off x="0" y="0"/>
                      <a:ext cx="3383280" cy="7329645"/>
                    </a:xfrm>
                    <a:prstGeom prst="rect"/>
                  </pic:spPr>
                </pic:pic>
              </a:graphicData>
            </a:graphic>
          </wp:inline>
        </w:drawing>
      </w:r>
    </w:p>
    <w:p>
      <w:pPr>
        <w:pStyle w:val="Caption"/>
        <w:jc w:val="center"/>
      </w:pPr>
      <w:r>
        <w:t>Figure A1. Screenshot supplied in this conversation. It visually records Google video results for “holmans mine airsoft”. Preserve the original file and device metadata where possible.</w:t>
      </w:r>
    </w:p>
    <w:p>
      <w:pPr/>
      <w:r>
        <w:rPr>
          <w:b/>
        </w:rPr>
        <w:t xml:space="preserve">V1. </w:t>
      </w:r>
      <w:hyperlink r:id="rId12">
        <w:r>
          <w:rPr>
            <w:color w:val="0563C1"/>
            <w:u w:val="single"/>
          </w:rPr>
          <w:t>https://youtu.be/fPsBAk8jNE4?si=ZDFOEJ4fVMPvfBg4</w:t>
        </w:r>
      </w:hyperlink>
    </w:p>
    <w:p>
      <w:pPr/>
      <w:r>
        <w:t>Visible screenshot result: “Underground Airsoft – 2 Miles Of Tunnels At…” — YouTube / Camman Extra — 21 July 2023 — duration 5:35.</w:t>
      </w:r>
    </w:p>
    <w:p>
      <w:pPr/>
      <w:r>
        <w:t>Visible screenshot result: “INSANE Airsoft Game In LIVE Test MINE Facility!…” — YouTube / Names Nicco — 30 January 2023 — duration 10:36.</w:t>
      </w:r>
    </w:p>
    <w:p>
      <w:pPr/>
      <w:r>
        <w:t>Visible screenshot result: “Cool underground at Holmans test mine airsoft” — Facebook — 7 August 2022 — duration 0:54.</w:t>
      </w:r>
    </w:p>
    <w:p>
      <w:pPr/>
      <w:r>
        <w:t>Visible screenshot result: “Indoor airsoft in Troon mine” — Facebook / Stephanie Tellam — 4 April 2026 — duration 1:03.</w:t>
      </w:r>
    </w:p>
    <w:p>
      <w:pPr/>
      <w:r>
        <w:t>Forensic preservation recommendation: capture the video URL, title, channel, publication date, description, comments relevant to site operations, visible route landmarks, spoken references to testing, access restrictions, blast doors, water, ventilation and any on-screen safety briefing. Preserve only lawfully accessible material.</w:t>
      </w:r>
    </w:p>
    <w:p>
      <w:pPr>
        <w:pStyle w:val="Heading1"/>
      </w:pPr>
      <w:r>
        <w:t>Appendix B — Source Schedule</w:t>
      </w:r>
    </w:p>
    <w:p>
      <w:pPr>
        <w:pStyle w:val="Small"/>
      </w:pPr>
      <w:r>
        <w:rPr>
          <w:b/>
        </w:rPr>
        <w:t xml:space="preserve">[S1] Event Horizon / Precision Energetics — Facilities: Holmans Test Mine. </w:t>
      </w:r>
      <w:hyperlink r:id="rId13">
        <w:r>
          <w:rPr>
            <w:color w:val="0563C1"/>
            <w:u w:val="single"/>
          </w:rPr>
          <w:t>https://www.precisionenergetics.co.uk/facilities.html</w:t>
        </w:r>
      </w:hyperlink>
      <w:r>
        <w:t xml:space="preserve"> — Current operator description: stewardship from 2017; underground testing; confined chambers; forced-air ventilation; HSE licensed storage.</w:t>
      </w:r>
    </w:p>
    <w:p>
      <w:pPr>
        <w:pStyle w:val="Small"/>
      </w:pPr>
      <w:r>
        <w:rPr>
          <w:b/>
        </w:rPr>
        <w:t xml:space="preserve">[S2] Blackout Airsoft Cornwall — Site Rules. </w:t>
      </w:r>
      <w:hyperlink r:id="rId14">
        <w:r>
          <w:rPr>
            <w:color w:val="0563C1"/>
            <w:u w:val="single"/>
          </w:rPr>
          <w:t>https://www.blackoutairsoftcornwall.com/site-rules</w:t>
        </w:r>
      </w:hyperlink>
      <w:r>
        <w:t xml:space="preserve"> — Current public rules and Holmans Test Mine site location; youth participation and mine PPE rules.</w:t>
      </w:r>
    </w:p>
    <w:p>
      <w:pPr>
        <w:pStyle w:val="Small"/>
      </w:pPr>
      <w:r>
        <w:rPr>
          <w:b/>
        </w:rPr>
        <w:t xml:space="preserve">[S3] 28DaysLater — Permission Visit: Holman’s Test Mine, Camborne, Oct 2023. </w:t>
      </w:r>
      <w:hyperlink r:id="rId15">
        <w:r>
          <w:rPr>
            <w:color w:val="0563C1"/>
            <w:u w:val="single"/>
          </w:rPr>
          <w:t>https://www.28dayslater.co.uk/threads/holmans-test-mine-camborne-oct-23.136575/</w:t>
        </w:r>
      </w:hyperlink>
      <w:r>
        <w:t xml:space="preserve"> — Independent contemporaneous account of active testing and Airsoft weekend; blast doors/test headings/off-limits areas.</w:t>
      </w:r>
    </w:p>
    <w:p>
      <w:pPr>
        <w:pStyle w:val="Small"/>
      </w:pPr>
      <w:r>
        <w:rPr>
          <w:b/>
        </w:rPr>
        <w:t xml:space="preserve">[S4] Earthmovers Magazine — Going Underground (10 July 2018). </w:t>
      </w:r>
      <w:hyperlink r:id="rId16">
        <w:r>
          <w:rPr>
            <w:color w:val="0563C1"/>
            <w:u w:val="single"/>
          </w:rPr>
          <w:t>https://www.earthmoversmagazine.co.uk/news/view%2Cgoing-underground_1891.htm</w:t>
        </w:r>
      </w:hyperlink>
      <w:r>
        <w:t xml:space="preserve"> — Trade-press operator interview describing MOD/EOD/jet-engine work, mine blasting, ventilation development, and historical 24-hour post-test smoke return limitation.</w:t>
      </w:r>
    </w:p>
    <w:p>
      <w:pPr>
        <w:pStyle w:val="Small"/>
      </w:pPr>
      <w:r>
        <w:rPr>
          <w:b/>
        </w:rPr>
        <w:t xml:space="preserve">[S5] Event Horizon / Precision Energetics — Explosive Engineering. </w:t>
      </w:r>
      <w:hyperlink r:id="rId17">
        <w:r>
          <w:rPr>
            <w:color w:val="0563C1"/>
            <w:u w:val="single"/>
          </w:rPr>
          <w:t>https://www.precisionenergetics.co.uk/index.html</w:t>
        </w:r>
      </w:hyperlink>
      <w:r>
        <w:t xml:space="preserve"> — Operator description of aerospace, EOD, military customers, licensed test/factory and underground facility.</w:t>
      </w:r>
    </w:p>
    <w:p>
      <w:pPr>
        <w:pStyle w:val="Small"/>
      </w:pPr>
      <w:r>
        <w:rPr>
          <w:b/>
        </w:rPr>
        <w:t xml:space="preserve">[S6] D3 Tenders — DGM/2000 Research and Development into Defence Requirements. </w:t>
      </w:r>
      <w:hyperlink r:id="rId18">
        <w:r>
          <w:rPr>
            <w:color w:val="0563C1"/>
            <w:u w:val="single"/>
          </w:rPr>
          <w:t>https://d3tenders.com/contract/?ocid=ocds-h6vhtk-02ccad</w:t>
        </w:r>
      </w:hyperlink>
      <w:r>
        <w:t xml:space="preserve"> — Secondary reproduction of UK procurement data; MOD authority, Event Horizon supplier, prior-contract findings from 2016. Verify against primary notice where obtainable.</w:t>
      </w:r>
    </w:p>
    <w:p>
      <w:pPr>
        <w:pStyle w:val="Small"/>
      </w:pPr>
      <w:r>
        <w:rPr>
          <w:b/>
        </w:rPr>
        <w:t xml:space="preserve">[S7] Health and Safety Executive — Introduction to working in confined spaces. </w:t>
      </w:r>
      <w:hyperlink r:id="rId19">
        <w:r>
          <w:rPr>
            <w:color w:val="0563C1"/>
            <w:u w:val="single"/>
          </w:rPr>
          <w:t>https://www.hse.gov.uk/confinedspace/introduction.htm</w:t>
        </w:r>
      </w:hyperlink>
      <w:r>
        <w:t xml:space="preserve"> — Noxious fumes, oxygen, ventilation, risk assessment and emergency controls.</w:t>
      </w:r>
    </w:p>
    <w:p>
      <w:pPr>
        <w:pStyle w:val="Small"/>
      </w:pPr>
      <w:r>
        <w:rPr>
          <w:b/>
        </w:rPr>
        <w:t xml:space="preserve">[S8] US EPA — Technical Fact Sheet: RDX (2017). </w:t>
      </w:r>
      <w:hyperlink r:id="rId20">
        <w:r>
          <w:rPr>
            <w:color w:val="0563C1"/>
            <w:u w:val="single"/>
          </w:rPr>
          <w:t>https://nepis.epa.gov/Exe/ZyPURL.cgi?Dockey=P100T2AN.TXT</w:t>
        </w:r>
      </w:hyperlink>
      <w:r>
        <w:t xml:space="preserve"> — Environmental fate and groundwater migration of RDX; military/testing source contexts.</w:t>
      </w:r>
    </w:p>
    <w:p>
      <w:pPr>
        <w:pStyle w:val="Small"/>
      </w:pPr>
      <w:r>
        <w:rPr>
          <w:b/>
        </w:rPr>
        <w:t xml:space="preserve">[S9] US Army / EPA HERO — Identity and Distribution of Residues of Energetic Compounds at Military Live-Fire Training Ranges. </w:t>
      </w:r>
      <w:hyperlink r:id="rId21">
        <w:r>
          <w:rPr>
            <w:color w:val="0563C1"/>
            <w:u w:val="single"/>
          </w:rPr>
          <w:t>https://heronetnext.epa.gov/reference/1466478/</w:t>
        </w:r>
      </w:hyperlink>
      <w:r>
        <w:t xml:space="preserve"> — Low-order detonation and heterogeneous energetic residues.</w:t>
      </w:r>
    </w:p>
    <w:p>
      <w:pPr>
        <w:pStyle w:val="Small"/>
      </w:pPr>
      <w:r>
        <w:rPr>
          <w:b/>
        </w:rPr>
        <w:t xml:space="preserve">[S10] Environment Agency — Protect groundwater and prevent groundwater pollution. </w:t>
      </w:r>
      <w:hyperlink r:id="rId22">
        <w:r>
          <w:rPr>
            <w:color w:val="0563C1"/>
            <w:u w:val="single"/>
          </w:rPr>
          <w:t>https://www.gov.uk/government/publications/protect-groundwater-and-prevent-groundwater-pollution/protect-groundwater-and-prevent-groundwater-pollution</w:t>
        </w:r>
      </w:hyperlink>
      <w:r>
        <w:t xml:space="preserve"> — Point/diffuse pollution, cumulative impacts, geological characteristics and precautionary principle.</w:t>
      </w:r>
    </w:p>
    <w:p>
      <w:pPr>
        <w:pStyle w:val="Small"/>
      </w:pPr>
      <w:r>
        <w:rPr>
          <w:b/>
        </w:rPr>
        <w:t xml:space="preserve">[S11] GOV.UK / Mining Remediation Authority — Wheal Jane mine water treatment scheme. </w:t>
      </w:r>
      <w:hyperlink r:id="rId23">
        <w:r>
          <w:rPr>
            <w:color w:val="0563C1"/>
            <w:u w:val="single"/>
          </w:rPr>
          <w:t>https://www.gov.uk/government/case-studies/wheal-jane-mine-water-treatment-scheme</w:t>
        </w:r>
      </w:hyperlink>
      <w:r>
        <w:t xml:space="preserve"> — Cornwall example of acidic/metal-laden mine water and metals removed by treatment.</w:t>
      </w:r>
    </w:p>
    <w:p>
      <w:pPr>
        <w:pStyle w:val="Small"/>
      </w:pPr>
      <w:r>
        <w:rPr>
          <w:b/>
        </w:rPr>
        <w:t xml:space="preserve">[S12] GOV.UK — Rivers polluted by abandoned metal mines in Cornwall and Devon. </w:t>
      </w:r>
      <w:hyperlink r:id="rId24">
        <w:r>
          <w:rPr>
            <w:color w:val="0563C1"/>
            <w:u w:val="single"/>
          </w:rPr>
          <w:t>https://www.gov.uk/government/publications/rivers-polluted-by-abandoned-metal-mines-in-cornwall-and-devon</w:t>
        </w:r>
      </w:hyperlink>
      <w:r>
        <w:t xml:space="preserve"> — Official mapping of metal pollution from abandoned mines.</w:t>
      </w:r>
    </w:p>
    <w:p>
      <w:pPr>
        <w:pStyle w:val="Small"/>
      </w:pPr>
      <w:r>
        <w:rPr>
          <w:b/>
        </w:rPr>
        <w:t xml:space="preserve">[S13] GOV.UK — West Cornwall and Fal management catchment: polluted rivers baseline. </w:t>
      </w:r>
      <w:hyperlink r:id="rId25">
        <w:r>
          <w:rPr>
            <w:color w:val="0563C1"/>
            <w:u w:val="single"/>
          </w:rPr>
          <w:t>https://www.gov.uk/government/publications/abandoned-metal-mines-in-england-baseline-length-of-rivers-and-estuaries-polluted-by-harmful-metals/west-cornwall-and-fal-management-catchment-baseline-length-of-rivers-and-estuaries-polluted-by-abandoned-metal-mines</w:t>
        </w:r>
      </w:hyperlink>
      <w:r>
        <w:t xml:space="preserve"> — Official catchment data for Cd, Pb, Ni, Zn, Cu and As pollution.</w:t>
      </w:r>
    </w:p>
    <w:p>
      <w:pPr>
        <w:pStyle w:val="Small"/>
      </w:pPr>
      <w:r>
        <w:rPr>
          <w:b/>
        </w:rPr>
        <w:t xml:space="preserve">[S14] ProQuest — Misfires Identification in Tunnel Blasts (2013). </w:t>
      </w:r>
      <w:hyperlink r:id="rId26">
        <w:r>
          <w:rPr>
            <w:color w:val="0563C1"/>
            <w:u w:val="single"/>
          </w:rPr>
          <w:t>https://search.proquest.com/openview/021717f2f668e53b267767caff6d076a/1?cbl=51922&amp;diss=y&amp;pq-origsite=gscholar</w:t>
        </w:r>
      </w:hyperlink>
      <w:r>
        <w:t xml:space="preserve"> — Historical research at Holmans; predates current operator.</w:t>
      </w:r>
    </w:p>
    <w:p>
      <w:pPr>
        <w:pStyle w:val="Small"/>
      </w:pPr>
      <w:r>
        <w:rPr>
          <w:b/>
        </w:rPr>
        <w:t xml:space="preserve">[S15] ProQuest — Application of High Voltage Breakage to a Range of Rock Types (Holmans references). </w:t>
      </w:r>
      <w:hyperlink r:id="rId27">
        <w:r>
          <w:rPr>
            <w:color w:val="0563C1"/>
            <w:u w:val="single"/>
          </w:rPr>
          <w:t>https://search.proquest.com/openview/021717f2f668e53b003a95e2f666cd30/1?cbl=51922&amp;diss=y&amp;pq-origsite=gscholar</w:t>
        </w:r>
      </w:hyperlink>
      <w:r>
        <w:t xml:space="preserve"> — Academic lead for sulphide-bearing rock/mineral context; geology must be verified with site-specific BGS/mineralogical data.</w:t>
      </w:r>
    </w:p>
    <w:p>
      <w:pPr>
        <w:pStyle w:val="Small"/>
      </w:pPr>
      <w:r>
        <w:rPr>
          <w:b/>
        </w:rPr>
        <w:t xml:space="preserve">[S16] HSE — Explosives site licence terms. </w:t>
      </w:r>
      <w:hyperlink r:id="rId28">
        <w:r>
          <w:rPr>
            <w:color w:val="0563C1"/>
            <w:u w:val="single"/>
          </w:rPr>
          <w:t>https://www.hse.gov.uk/explosives/licensing/license-terms.htm</w:t>
        </w:r>
      </w:hyperlink>
      <w:r>
        <w:t xml:space="preserve"> — Plan A/Plan B, schedules, permitted activities/amounts and licensee control.</w:t>
      </w:r>
    </w:p>
    <w:p>
      <w:pPr>
        <w:pStyle w:val="Small"/>
      </w:pPr>
      <w:r>
        <w:rPr>
          <w:b/>
        </w:rPr>
        <w:t xml:space="preserve">[S17] HSE — Storing explosives: site sharing and subletting. </w:t>
      </w:r>
      <w:hyperlink r:id="rId29">
        <w:r>
          <w:rPr>
            <w:color w:val="0563C1"/>
            <w:u w:val="single"/>
          </w:rPr>
          <w:t>https://www.hse.gov.uk/explosives/licensing/storage/</w:t>
        </w:r>
      </w:hyperlink>
      <w:r>
        <w:t xml:space="preserve"> — Effective control and multiple-occupier/site-sharing guidance.</w:t>
      </w:r>
    </w:p>
    <w:p>
      <w:pPr>
        <w:pStyle w:val="Small"/>
      </w:pPr>
      <w:r>
        <w:rPr>
          <w:b/>
        </w:rPr>
        <w:t xml:space="preserve">[S18] Environment Agency — Groundwater risk assessment for your environmental permit. </w:t>
      </w:r>
      <w:hyperlink r:id="rId30">
        <w:r>
          <w:rPr>
            <w:color w:val="0563C1"/>
            <w:u w:val="single"/>
          </w:rPr>
          <w:t>https://www.gov.uk/guidance/groundwater-risk-assessment-for-your-environmental-permit</w:t>
        </w:r>
      </w:hyperlink>
      <w:r>
        <w:t xml:space="preserve"> — Current EA guidance; professional competence and site-specific assessment.</w:t>
      </w:r>
    </w:p>
    <w:p>
      <w:pPr>
        <w:pStyle w:val="Small"/>
      </w:pPr>
      <w:r>
        <w:rPr>
          <w:b/>
        </w:rPr>
        <w:t xml:space="preserve">[S19] GOV.UK — Supporting minimising environmental impacts from UXO clearance. </w:t>
      </w:r>
      <w:hyperlink r:id="rId31">
        <w:r>
          <w:rPr>
            <w:color w:val="0563C1"/>
            <w:u w:val="single"/>
          </w:rPr>
          <w:t>https://www.gov.uk/government/publications/supporting-minimising-environmental-impacts-from-unexploded-ordnance-clearance/supporting-minimising-environmental-impacts-from-unexploded-ordnance-clearance</w:t>
        </w:r>
      </w:hyperlink>
      <w:r>
        <w:t xml:space="preserve"> — UK government recognition that residual explosive material/chemical release and debris recovery can be environmental issues in UXO clearance contexts.</w:t>
      </w:r>
    </w:p>
    <w:p>
      <w:pPr>
        <w:pStyle w:val="Heading1"/>
      </w:pPr>
      <w:r>
        <w:t>Appendix C — Limitations and Evidential Cautions</w:t>
      </w:r>
    </w:p>
    <w:p>
      <w:pPr>
        <w:pStyle w:val="ListBullet"/>
      </w:pPr>
      <w:r>
        <w:t>This is a forensic working report, not a signed expert opinion and not a determination of legal liability.</w:t>
      </w:r>
    </w:p>
    <w:p>
      <w:pPr>
        <w:pStyle w:val="ListBullet"/>
      </w:pPr>
      <w:r>
        <w:t>No direct access to the operator’s firing ledger, HSE licence schedules, environmental permits, atmospheric monitoring or full historic Airsoft calendar was available for this version.</w:t>
      </w:r>
    </w:p>
    <w:p>
      <w:pPr>
        <w:pStyle w:val="ListBullet"/>
      </w:pPr>
      <w:r>
        <w:t>The one-to-two-test-days-per-week frequency and certain water/tree/ground observations are project-supplied evidence and require independent documentary or field verification.</w:t>
      </w:r>
    </w:p>
    <w:p>
      <w:pPr>
        <w:pStyle w:val="ListBullet"/>
      </w:pPr>
      <w:r>
        <w:t>No specific explosive formulation is attributed to Holmans unless a cited source establishes it. RDX/HMX/TNT discussion is conditional and illustrative of known energetic-contaminant behaviour.</w:t>
      </w:r>
    </w:p>
    <w:p>
      <w:pPr>
        <w:pStyle w:val="ListBullet"/>
      </w:pPr>
      <w:r>
        <w:t>No causal finding is made that explosive testing caused sulphur, tree failure, sinkholes, illness, wildlife effects or water contamination. The report identifies plausible mechanisms and the evidence required to test them.</w:t>
      </w:r>
    </w:p>
    <w:p>
      <w:pPr>
        <w:pStyle w:val="ListBullet"/>
      </w:pPr>
      <w:r>
        <w:t>The 2018 24-hour smoke statement is historical and should not be represented as the current post-test rule without current records.</w:t>
      </w:r>
    </w:p>
    <w:p>
      <w:pPr>
        <w:pStyle w:val="ListBullet"/>
      </w:pPr>
      <w:r>
        <w:t>Public videos and forum accounts are evidential leads and corroboration, not substitutes for primary regulatory/operator records.</w:t>
      </w:r>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5"/>
      </w:rPr>
      <w:t>Working investigative report • 27 August 2026 • Not a final expert opinion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A5A5A"/>
        <w:sz w:val="15"/>
      </w:rPr>
      <w:t>HOLMANS TEST MINE — MASTER FORENSIC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1F4E79"/>
      <w:sz w:val="3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ptos" w:hAnsi="Aptos"/>
      <w:b/>
      <w:bCs/>
      <w:color w:val="44546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80"/>
      <w:contextualSpacing/>
    </w:pPr>
    <w:rPr>
      <w:rFonts w:asciiTheme="majorHAnsi" w:eastAsiaTheme="majorEastAsia" w:hAnsiTheme="majorHAnsi" w:cstheme="majorBidi" w:ascii="Aptos Display" w:hAnsi="Aptos Display"/>
      <w:b/>
      <w:color w:val="1F2937"/>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80" w:after="100"/>
      <w:ind w:left="403" w:right="216"/>
    </w:pPr>
    <w:rPr>
      <w:rFonts w:ascii="Aptos" w:hAnsi="Aptos"/>
      <w:i/>
      <w:iCs/>
      <w:color w:val="000000" w:themeColor="text1"/>
      <w:sz w:val="18"/>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after="120"/>
    </w:pPr>
    <w:rPr>
      <w:rFonts w:ascii="Aptos" w:hAnsi="Aptos"/>
      <w:b/>
      <w:bCs/>
      <w:i/>
      <w:color w:val="5A5A5A"/>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videnceTag">
    <w:name w:val="EvidenceTag"/>
    <w:rPr>
      <w:rFonts w:ascii="Aptos" w:hAnsi="Aptos"/>
      <w:b/>
      <w:color w:val="1F4E79"/>
      <w:sz w:val="16"/>
    </w:rPr>
  </w:style>
  <w:style w:type="paragraph" w:customStyle="1" w:styleId="Small">
    <w:name w:val="Small"/>
    <w:pPr>
      <w:spacing w:after="40"/>
    </w:pPr>
    <w:rPr>
      <w:rFonts w:ascii="Aptos" w:hAnsi="Aptos"/>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youtu.be/fPsBAk8jNE4?si=ZDFOEJ4fVMPvfBg4" TargetMode="External"/><Relationship Id="rId13" Type="http://schemas.openxmlformats.org/officeDocument/2006/relationships/hyperlink" Target="https://www.precisionenergetics.co.uk/facilities.html" TargetMode="External"/><Relationship Id="rId14" Type="http://schemas.openxmlformats.org/officeDocument/2006/relationships/hyperlink" Target="https://www.blackoutairsoftcornwall.com/site-rules" TargetMode="External"/><Relationship Id="rId15" Type="http://schemas.openxmlformats.org/officeDocument/2006/relationships/hyperlink" Target="https://www.28dayslater.co.uk/threads/holmans-test-mine-camborne-oct-23.136575/" TargetMode="External"/><Relationship Id="rId16" Type="http://schemas.openxmlformats.org/officeDocument/2006/relationships/hyperlink" Target="https://www.earthmoversmagazine.co.uk/news/view%2Cgoing-underground_1891.htm" TargetMode="External"/><Relationship Id="rId17" Type="http://schemas.openxmlformats.org/officeDocument/2006/relationships/hyperlink" Target="https://www.precisionenergetics.co.uk/index.html" TargetMode="External"/><Relationship Id="rId18" Type="http://schemas.openxmlformats.org/officeDocument/2006/relationships/hyperlink" Target="https://d3tenders.com/contract/?ocid=ocds-h6vhtk-02ccad" TargetMode="External"/><Relationship Id="rId19" Type="http://schemas.openxmlformats.org/officeDocument/2006/relationships/hyperlink" Target="https://www.hse.gov.uk/confinedspace/introduction.htm" TargetMode="External"/><Relationship Id="rId20" Type="http://schemas.openxmlformats.org/officeDocument/2006/relationships/hyperlink" Target="https://nepis.epa.gov/Exe/ZyPURL.cgi?Dockey=P100T2AN.TXT" TargetMode="External"/><Relationship Id="rId21" Type="http://schemas.openxmlformats.org/officeDocument/2006/relationships/hyperlink" Target="https://heronetnext.epa.gov/reference/1466478/" TargetMode="External"/><Relationship Id="rId22" Type="http://schemas.openxmlformats.org/officeDocument/2006/relationships/hyperlink" Target="https://www.gov.uk/government/publications/protect-groundwater-and-prevent-groundwater-pollution/protect-groundwater-and-prevent-groundwater-pollution" TargetMode="External"/><Relationship Id="rId23" Type="http://schemas.openxmlformats.org/officeDocument/2006/relationships/hyperlink" Target="https://www.gov.uk/government/case-studies/wheal-jane-mine-water-treatment-scheme" TargetMode="External"/><Relationship Id="rId24" Type="http://schemas.openxmlformats.org/officeDocument/2006/relationships/hyperlink" Target="https://www.gov.uk/government/publications/rivers-polluted-by-abandoned-metal-mines-in-cornwall-and-devon" TargetMode="External"/><Relationship Id="rId25" Type="http://schemas.openxmlformats.org/officeDocument/2006/relationships/hyperlink" Target="https://www.gov.uk/government/publications/abandoned-metal-mines-in-england-baseline-length-of-rivers-and-estuaries-polluted-by-harmful-metals/west-cornwall-and-fal-management-catchment-baseline-length-of-rivers-and-estuaries-polluted-by-abandoned-metal-mines" TargetMode="External"/><Relationship Id="rId26" Type="http://schemas.openxmlformats.org/officeDocument/2006/relationships/hyperlink" Target="https://search.proquest.com/openview/021717f2f668e53b267767caff6d076a/1?cbl=51922&amp;diss=y&amp;pq-origsite=gscholar" TargetMode="External"/><Relationship Id="rId27" Type="http://schemas.openxmlformats.org/officeDocument/2006/relationships/hyperlink" Target="https://search.proquest.com/openview/021717f2f668e53b003a95e2f666cd30/1?cbl=51922&amp;diss=y&amp;pq-origsite=gscholar" TargetMode="External"/><Relationship Id="rId28" Type="http://schemas.openxmlformats.org/officeDocument/2006/relationships/hyperlink" Target="https://www.hse.gov.uk/explosives/licensing/license-terms.htm" TargetMode="External"/><Relationship Id="rId29" Type="http://schemas.openxmlformats.org/officeDocument/2006/relationships/hyperlink" Target="https://www.hse.gov.uk/explosives/licensing/storage/" TargetMode="External"/><Relationship Id="rId30" Type="http://schemas.openxmlformats.org/officeDocument/2006/relationships/hyperlink" Target="https://www.gov.uk/guidance/groundwater-risk-assessment-for-your-environmental-permit" TargetMode="External"/><Relationship Id="rId31" Type="http://schemas.openxmlformats.org/officeDocument/2006/relationships/hyperlink" Target="https://www.gov.uk/government/publications/supporting-minimising-environmental-impacts-from-unexploded-ordnance-clearance/supporting-minimising-environmental-impacts-from-unexploded-ordnance-clear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Holmans Test Mine — Master Environmental, Hydrogeological, Explosives &amp; Public-Safety Review</dc:title>
  <dc:subject>Forensic working report for regulatory and expert review</dc:subject>
  <dc:creator>OpenAI — prepared from supplied evidence and cited public sources</dc:creator>
  <cp:keywords/>
  <dc:description>generated by python-docx</dc:description>
  <cp:lastModifiedBy/>
  <cp:revision>1</cp:revision>
  <dcterms:created xsi:type="dcterms:W3CDTF">2013-12-23T23:15:00Z</dcterms:created>
  <dcterms:modified xsi:type="dcterms:W3CDTF">2013-12-23T23:15:00Z</dcterms:modified>
  <cp:category/>
</cp:coreProperties>
</file>